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382741" w:rsidRPr="00743056" w14:paraId="65FD2760" w14:textId="77777777" w:rsidTr="00382741">
        <w:tc>
          <w:tcPr>
            <w:tcW w:w="9926" w:type="dxa"/>
            <w:shd w:val="clear" w:color="auto" w:fill="auto"/>
          </w:tcPr>
          <w:p w14:paraId="3A215D94" w14:textId="45BC801B" w:rsidR="00382741" w:rsidRPr="00743056" w:rsidRDefault="00382741" w:rsidP="002D12AF">
            <w:pPr>
              <w:spacing w:before="60" w:after="60"/>
              <w:jc w:val="center"/>
              <w:rPr>
                <w:rFonts w:ascii="Arial" w:hAnsi="Arial" w:cs="Arial"/>
                <w:b/>
                <w:bCs/>
                <w:szCs w:val="18"/>
              </w:rPr>
            </w:pPr>
            <w:bookmarkStart w:id="0" w:name="_Hlk68785127"/>
            <w:bookmarkStart w:id="1" w:name="_Hlk68734195"/>
            <w:r w:rsidRPr="00743056">
              <w:rPr>
                <w:rFonts w:ascii="Arial" w:hAnsi="Arial" w:cs="Arial"/>
                <w:b/>
                <w:bCs/>
                <w:szCs w:val="18"/>
              </w:rPr>
              <w:t>DR-</w:t>
            </w:r>
            <w:r w:rsidR="009419DA">
              <w:rPr>
                <w:rFonts w:ascii="Arial" w:hAnsi="Arial" w:cs="Arial"/>
                <w:b/>
                <w:bCs/>
                <w:szCs w:val="18"/>
              </w:rPr>
              <w:t>4615</w:t>
            </w:r>
            <w:r w:rsidRPr="00743056">
              <w:rPr>
                <w:rFonts w:ascii="Arial" w:hAnsi="Arial" w:cs="Arial"/>
                <w:b/>
                <w:bCs/>
                <w:szCs w:val="18"/>
              </w:rPr>
              <w:t xml:space="preserve"> </w:t>
            </w:r>
            <w:r w:rsidR="00695929" w:rsidRPr="00695929">
              <w:rPr>
                <w:rFonts w:ascii="Arial" w:hAnsi="Arial" w:cs="Arial"/>
                <w:b/>
                <w:bCs/>
                <w:szCs w:val="18"/>
              </w:rPr>
              <w:t>Remnants of Hurricane Ida (September 5, 2021)</w:t>
            </w:r>
          </w:p>
          <w:p w14:paraId="2D0FBEEC" w14:textId="77777777" w:rsidR="00382741" w:rsidRPr="00743056" w:rsidRDefault="00382741" w:rsidP="00382741">
            <w:pPr>
              <w:spacing w:before="60" w:after="60"/>
              <w:jc w:val="center"/>
              <w:rPr>
                <w:rFonts w:ascii="Arial" w:hAnsi="Arial" w:cs="Arial"/>
                <w:b/>
                <w:bCs/>
                <w:szCs w:val="18"/>
              </w:rPr>
            </w:pPr>
            <w:r>
              <w:rPr>
                <w:rFonts w:ascii="Arial" w:hAnsi="Arial" w:cs="Arial"/>
                <w:b/>
                <w:bCs/>
                <w:szCs w:val="18"/>
              </w:rPr>
              <w:t>Hazard Mitigation Grant Program (HMGP)</w:t>
            </w:r>
          </w:p>
          <w:p w14:paraId="501C3A80" w14:textId="77777777" w:rsidR="00382741" w:rsidRPr="00743056" w:rsidRDefault="00382741" w:rsidP="002D12AF">
            <w:pPr>
              <w:spacing w:before="60" w:after="60"/>
              <w:jc w:val="center"/>
              <w:rPr>
                <w:b/>
                <w:bCs/>
                <w:u w:val="single"/>
              </w:rPr>
            </w:pPr>
            <w:r w:rsidRPr="00F217D1">
              <w:rPr>
                <w:rFonts w:ascii="Arial" w:hAnsi="Arial" w:cs="Arial"/>
                <w:b/>
                <w:bCs/>
                <w:sz w:val="24"/>
                <w:szCs w:val="24"/>
                <w:u w:val="single"/>
              </w:rPr>
              <w:t>Funding Announcement</w:t>
            </w:r>
          </w:p>
        </w:tc>
      </w:tr>
    </w:tbl>
    <w:bookmarkEnd w:id="0"/>
    <w:bookmarkEnd w:id="1"/>
    <w:p w14:paraId="4B3852AA" w14:textId="341F264C" w:rsidR="00E21B0F" w:rsidRPr="009A64D6" w:rsidRDefault="00A3368D" w:rsidP="007F6BDA">
      <w:pPr>
        <w:spacing w:before="240" w:after="120" w:line="240" w:lineRule="auto"/>
        <w:rPr>
          <w:rFonts w:ascii="Arial" w:hAnsi="Arial" w:cs="Arial"/>
        </w:rPr>
      </w:pPr>
      <w:r w:rsidRPr="00A3368D">
        <w:rPr>
          <w:rFonts w:ascii="Arial" w:hAnsi="Arial" w:cs="Arial"/>
        </w:rPr>
        <w:t xml:space="preserve">The New York State Division of Homeland Security and Emergency Services (DHSES) is pleased to announce the availability of Federal Emergency Management Agency (FEMA) Hazard Mitigation Grant Program (HMGP) funds for Presidential </w:t>
      </w:r>
      <w:r w:rsidR="00722441">
        <w:rPr>
          <w:rFonts w:ascii="Arial" w:hAnsi="Arial" w:cs="Arial"/>
        </w:rPr>
        <w:t>D</w:t>
      </w:r>
      <w:r w:rsidRPr="00A3368D">
        <w:rPr>
          <w:rFonts w:ascii="Arial" w:hAnsi="Arial" w:cs="Arial"/>
        </w:rPr>
        <w:t>eclaration:</w:t>
      </w:r>
      <w:r w:rsidR="00D60DD5">
        <w:rPr>
          <w:rFonts w:ascii="Arial" w:hAnsi="Arial" w:cs="Arial"/>
        </w:rPr>
        <w:t xml:space="preserve"> </w:t>
      </w:r>
      <w:r w:rsidRPr="00D60DD5">
        <w:rPr>
          <w:rFonts w:ascii="Arial" w:hAnsi="Arial" w:cs="Arial"/>
        </w:rPr>
        <w:t>DR-</w:t>
      </w:r>
      <w:r w:rsidR="009419DA">
        <w:rPr>
          <w:rFonts w:ascii="Arial" w:hAnsi="Arial" w:cs="Arial"/>
        </w:rPr>
        <w:t>4615</w:t>
      </w:r>
      <w:r w:rsidR="00222B33" w:rsidRPr="00D60DD5">
        <w:rPr>
          <w:rFonts w:ascii="Arial" w:hAnsi="Arial" w:cs="Arial"/>
        </w:rPr>
        <w:t xml:space="preserve"> </w:t>
      </w:r>
      <w:r w:rsidR="0034576E">
        <w:rPr>
          <w:rFonts w:ascii="Arial" w:hAnsi="Arial" w:cs="Arial"/>
        </w:rPr>
        <w:t>(</w:t>
      </w:r>
      <w:r w:rsidR="009A3DBF">
        <w:rPr>
          <w:rFonts w:ascii="Arial" w:hAnsi="Arial" w:cs="Arial"/>
        </w:rPr>
        <w:t xml:space="preserve">Remnants </w:t>
      </w:r>
      <w:r w:rsidR="00F43B31">
        <w:rPr>
          <w:rFonts w:ascii="Arial" w:hAnsi="Arial" w:cs="Arial"/>
        </w:rPr>
        <w:t>o</w:t>
      </w:r>
      <w:r w:rsidR="009A3DBF">
        <w:rPr>
          <w:rFonts w:ascii="Arial" w:hAnsi="Arial" w:cs="Arial"/>
        </w:rPr>
        <w:t>f Hurricane Ida</w:t>
      </w:r>
      <w:r w:rsidR="0034576E">
        <w:rPr>
          <w:rFonts w:ascii="Arial" w:hAnsi="Arial" w:cs="Arial"/>
        </w:rPr>
        <w:t>)</w:t>
      </w:r>
      <w:r w:rsidR="00D60DD5" w:rsidRPr="00C74E2D">
        <w:rPr>
          <w:rFonts w:ascii="Arial" w:hAnsi="Arial" w:cs="Arial"/>
        </w:rPr>
        <w:t>.</w:t>
      </w:r>
    </w:p>
    <w:p w14:paraId="42B2E6CC" w14:textId="627A8304" w:rsidR="00F96C94" w:rsidRPr="004F7A1A" w:rsidRDefault="00AB504E" w:rsidP="007F6BDA">
      <w:pPr>
        <w:spacing w:before="240" w:after="0" w:line="240" w:lineRule="auto"/>
        <w:rPr>
          <w:rFonts w:ascii="Arial" w:hAnsi="Arial" w:cs="Arial"/>
          <w:bCs/>
        </w:rPr>
      </w:pPr>
      <w:r w:rsidRPr="00C74E2D">
        <w:rPr>
          <w:rFonts w:ascii="Arial" w:hAnsi="Arial" w:cs="Arial"/>
          <w:b/>
        </w:rPr>
        <w:t xml:space="preserve">FEDERAL </w:t>
      </w:r>
      <w:r w:rsidR="00E21B0F" w:rsidRPr="00C74E2D">
        <w:rPr>
          <w:rFonts w:ascii="Arial" w:hAnsi="Arial" w:cs="Arial"/>
          <w:b/>
        </w:rPr>
        <w:t>FUNDS AVAILABLE:</w:t>
      </w:r>
      <w:r w:rsidR="00E21B0F" w:rsidRPr="00C74E2D">
        <w:rPr>
          <w:rFonts w:ascii="Arial" w:hAnsi="Arial" w:cs="Arial"/>
          <w:b/>
        </w:rPr>
        <w:tab/>
      </w:r>
      <w:r w:rsidR="008216EF">
        <w:rPr>
          <w:rFonts w:ascii="Arial" w:hAnsi="Arial" w:cs="Arial"/>
          <w:b/>
        </w:rPr>
        <w:tab/>
      </w:r>
      <w:r w:rsidR="00281F6D" w:rsidRPr="004F7A1A">
        <w:rPr>
          <w:rFonts w:ascii="Arial" w:hAnsi="Arial" w:cs="Arial"/>
          <w:bCs/>
        </w:rPr>
        <w:t>$</w:t>
      </w:r>
      <w:r w:rsidR="00842F0C">
        <w:rPr>
          <w:rFonts w:ascii="Arial" w:hAnsi="Arial" w:cs="Arial"/>
          <w:bCs/>
        </w:rPr>
        <w:t>40,354,472</w:t>
      </w:r>
      <w:r w:rsidR="00C177C6" w:rsidRPr="004F7A1A">
        <w:rPr>
          <w:rFonts w:ascii="Arial" w:hAnsi="Arial" w:cs="Arial"/>
          <w:bCs/>
        </w:rPr>
        <w:t xml:space="preserve"> </w:t>
      </w:r>
      <w:r w:rsidR="00E21B0F" w:rsidRPr="004F7A1A">
        <w:rPr>
          <w:rFonts w:ascii="Arial" w:hAnsi="Arial" w:cs="Arial"/>
          <w:bCs/>
        </w:rPr>
        <w:t>(estimated</w:t>
      </w:r>
      <w:r w:rsidR="00BF7EFE" w:rsidRPr="004F7A1A">
        <w:rPr>
          <w:rFonts w:ascii="Arial" w:hAnsi="Arial" w:cs="Arial"/>
          <w:bCs/>
        </w:rPr>
        <w:t xml:space="preserve"> for projects)</w:t>
      </w:r>
      <w:r w:rsidR="000F181C" w:rsidRPr="004F7A1A">
        <w:rPr>
          <w:rFonts w:ascii="Arial" w:hAnsi="Arial" w:cs="Arial"/>
          <w:bCs/>
        </w:rPr>
        <w:t>*</w:t>
      </w:r>
    </w:p>
    <w:p w14:paraId="40B3D4D5" w14:textId="23C23A8D" w:rsidR="008F50C8" w:rsidRPr="004F7A1A" w:rsidRDefault="00762B21" w:rsidP="008216EF">
      <w:pPr>
        <w:spacing w:after="120" w:line="240" w:lineRule="auto"/>
        <w:ind w:left="3600" w:firstLine="720"/>
        <w:rPr>
          <w:rFonts w:ascii="Arial" w:hAnsi="Arial" w:cs="Arial"/>
          <w:bCs/>
        </w:rPr>
      </w:pPr>
      <w:r w:rsidRPr="004F7A1A">
        <w:rPr>
          <w:rFonts w:ascii="Arial" w:hAnsi="Arial" w:cs="Arial"/>
          <w:bCs/>
        </w:rPr>
        <w:t>$</w:t>
      </w:r>
      <w:r w:rsidR="004F6F0E" w:rsidRPr="004F7A1A">
        <w:rPr>
          <w:rFonts w:ascii="Arial" w:hAnsi="Arial" w:cs="Arial"/>
          <w:bCs/>
        </w:rPr>
        <w:t xml:space="preserve">  </w:t>
      </w:r>
      <w:r w:rsidR="00472CE2" w:rsidRPr="004F7A1A">
        <w:rPr>
          <w:rFonts w:ascii="Arial" w:hAnsi="Arial" w:cs="Arial"/>
          <w:bCs/>
        </w:rPr>
        <w:t>2,</w:t>
      </w:r>
      <w:r w:rsidR="00842F0C">
        <w:rPr>
          <w:rFonts w:ascii="Arial" w:hAnsi="Arial" w:cs="Arial"/>
          <w:bCs/>
        </w:rPr>
        <w:t>824,813</w:t>
      </w:r>
      <w:r w:rsidRPr="004F7A1A">
        <w:rPr>
          <w:rFonts w:ascii="Arial" w:hAnsi="Arial" w:cs="Arial"/>
          <w:bCs/>
        </w:rPr>
        <w:t xml:space="preserve"> (estimated for planning)</w:t>
      </w:r>
    </w:p>
    <w:p w14:paraId="466F220F" w14:textId="4883267A" w:rsidR="003E6E61" w:rsidRPr="004F7A1A" w:rsidRDefault="00A114A9" w:rsidP="009A64D6">
      <w:pPr>
        <w:spacing w:after="0" w:line="240" w:lineRule="auto"/>
        <w:ind w:left="3600" w:hanging="3600"/>
        <w:rPr>
          <w:rFonts w:ascii="Arial" w:hAnsi="Arial" w:cs="Arial"/>
          <w:bCs/>
        </w:rPr>
      </w:pPr>
      <w:r w:rsidRPr="00A3368D">
        <w:rPr>
          <w:rFonts w:ascii="Arial" w:hAnsi="Arial" w:cs="Arial"/>
          <w:b/>
        </w:rPr>
        <w:t>ELIGIBLE ACTIVITIES</w:t>
      </w:r>
      <w:r w:rsidR="00487805" w:rsidRPr="00A3368D">
        <w:rPr>
          <w:rFonts w:ascii="Arial" w:hAnsi="Arial" w:cs="Arial"/>
          <w:b/>
        </w:rPr>
        <w:t xml:space="preserve">: </w:t>
      </w:r>
      <w:r w:rsidR="00376076">
        <w:rPr>
          <w:rFonts w:ascii="Arial" w:hAnsi="Arial" w:cs="Arial"/>
          <w:b/>
        </w:rPr>
        <w:tab/>
      </w:r>
      <w:r w:rsidR="008216EF">
        <w:rPr>
          <w:rFonts w:ascii="Arial" w:hAnsi="Arial" w:cs="Arial"/>
          <w:b/>
        </w:rPr>
        <w:tab/>
      </w:r>
      <w:r w:rsidR="00ED5BA5" w:rsidRPr="004F7A1A">
        <w:rPr>
          <w:rFonts w:ascii="Arial" w:hAnsi="Arial" w:cs="Arial"/>
          <w:bCs/>
        </w:rPr>
        <w:t xml:space="preserve">Implementing </w:t>
      </w:r>
      <w:r w:rsidR="00AE4A64" w:rsidRPr="004F7A1A">
        <w:rPr>
          <w:rFonts w:ascii="Arial" w:hAnsi="Arial" w:cs="Arial"/>
          <w:bCs/>
        </w:rPr>
        <w:t xml:space="preserve">Hazard Mitigation Projects </w:t>
      </w:r>
      <w:r w:rsidR="00762B21" w:rsidRPr="004F7A1A">
        <w:rPr>
          <w:rFonts w:ascii="Arial" w:hAnsi="Arial" w:cs="Arial"/>
          <w:bCs/>
        </w:rPr>
        <w:t>and</w:t>
      </w:r>
    </w:p>
    <w:p w14:paraId="37AB66D6" w14:textId="1D6B4A38" w:rsidR="00762B21" w:rsidRPr="004F7A1A" w:rsidRDefault="00762B21" w:rsidP="008216EF">
      <w:pPr>
        <w:spacing w:after="120" w:line="240" w:lineRule="auto"/>
        <w:ind w:left="4320"/>
        <w:rPr>
          <w:rFonts w:ascii="Arial" w:hAnsi="Arial" w:cs="Arial"/>
          <w:bCs/>
        </w:rPr>
      </w:pPr>
      <w:r w:rsidRPr="004F7A1A">
        <w:rPr>
          <w:rFonts w:ascii="Arial" w:hAnsi="Arial" w:cs="Arial"/>
          <w:bCs/>
        </w:rPr>
        <w:t>Multi-Jurisdictional Hazard Mitigation Plan</w:t>
      </w:r>
      <w:r w:rsidR="00C177C6" w:rsidRPr="004F7A1A">
        <w:rPr>
          <w:rFonts w:ascii="Arial" w:hAnsi="Arial" w:cs="Arial"/>
          <w:bCs/>
        </w:rPr>
        <w:t>ning</w:t>
      </w:r>
      <w:r w:rsidR="00E71573" w:rsidRPr="004F7A1A">
        <w:rPr>
          <w:rFonts w:ascii="Arial" w:hAnsi="Arial" w:cs="Arial"/>
          <w:bCs/>
        </w:rPr>
        <w:t xml:space="preserve"> and Planning Activities </w:t>
      </w:r>
    </w:p>
    <w:p w14:paraId="32E0E89D" w14:textId="30029CB5" w:rsidR="00487805" w:rsidRPr="004F7A1A" w:rsidRDefault="00487805" w:rsidP="004F7A1A">
      <w:pPr>
        <w:pStyle w:val="NoSpacing"/>
        <w:rPr>
          <w:rFonts w:ascii="Arial" w:hAnsi="Arial" w:cs="Arial"/>
        </w:rPr>
      </w:pPr>
      <w:r w:rsidRPr="004F7A1A">
        <w:rPr>
          <w:rFonts w:ascii="Arial" w:hAnsi="Arial" w:cs="Arial"/>
          <w:b/>
        </w:rPr>
        <w:t>DATE ANNOUNCED:</w:t>
      </w:r>
      <w:r w:rsidRPr="00A3368D">
        <w:rPr>
          <w:b/>
        </w:rPr>
        <w:tab/>
      </w:r>
      <w:r w:rsidRPr="00A3368D">
        <w:rPr>
          <w:b/>
        </w:rPr>
        <w:tab/>
      </w:r>
      <w:r w:rsidR="008216EF">
        <w:rPr>
          <w:b/>
        </w:rPr>
        <w:tab/>
      </w:r>
      <w:r w:rsidR="004F7A1A" w:rsidRPr="004F7A1A">
        <w:rPr>
          <w:rFonts w:ascii="Arial" w:hAnsi="Arial" w:cs="Arial"/>
        </w:rPr>
        <w:t xml:space="preserve">Original date:  </w:t>
      </w:r>
      <w:r w:rsidR="006D7AC4" w:rsidRPr="004F7A1A">
        <w:rPr>
          <w:rFonts w:ascii="Arial" w:hAnsi="Arial" w:cs="Arial"/>
        </w:rPr>
        <w:t xml:space="preserve">Wednesday, </w:t>
      </w:r>
      <w:r w:rsidR="00092CC7" w:rsidRPr="004F7A1A">
        <w:rPr>
          <w:rFonts w:ascii="Arial" w:hAnsi="Arial" w:cs="Arial"/>
        </w:rPr>
        <w:t xml:space="preserve">February </w:t>
      </w:r>
      <w:r w:rsidR="006D7AC4" w:rsidRPr="004F7A1A">
        <w:rPr>
          <w:rFonts w:ascii="Arial" w:hAnsi="Arial" w:cs="Arial"/>
        </w:rPr>
        <w:t>23</w:t>
      </w:r>
      <w:r w:rsidR="00092CC7" w:rsidRPr="004F7A1A">
        <w:rPr>
          <w:rFonts w:ascii="Arial" w:hAnsi="Arial" w:cs="Arial"/>
        </w:rPr>
        <w:t>, 2022</w:t>
      </w:r>
    </w:p>
    <w:p w14:paraId="71B73FCC" w14:textId="45525A28" w:rsidR="004F7A1A" w:rsidRPr="004F7A1A" w:rsidRDefault="004F7A1A" w:rsidP="004F7A1A">
      <w:pPr>
        <w:pStyle w:val="NoSpacing"/>
        <w:rPr>
          <w:rFonts w:ascii="Arial" w:hAnsi="Arial" w:cs="Arial"/>
          <w:b/>
          <w:bCs/>
        </w:rPr>
      </w:pPr>
      <w:r>
        <w:tab/>
      </w:r>
      <w:r>
        <w:tab/>
      </w:r>
      <w:r>
        <w:tab/>
      </w:r>
      <w:r>
        <w:tab/>
      </w:r>
      <w:r>
        <w:tab/>
      </w:r>
      <w:r>
        <w:tab/>
      </w:r>
      <w:r w:rsidRPr="00F95E56">
        <w:rPr>
          <w:rFonts w:ascii="Arial" w:hAnsi="Arial" w:cs="Arial"/>
          <w:b/>
          <w:bCs/>
        </w:rPr>
        <w:t>Revised date:  Wednesday, April 6, 2022</w:t>
      </w:r>
    </w:p>
    <w:p w14:paraId="155B000B" w14:textId="77777777" w:rsidR="004F7A1A" w:rsidRDefault="004F7A1A" w:rsidP="00F04D04">
      <w:pPr>
        <w:pStyle w:val="insideaddress"/>
        <w:spacing w:after="120"/>
        <w:rPr>
          <w:rFonts w:ascii="Arial" w:hAnsi="Arial" w:cs="Arial"/>
          <w:b/>
          <w:sz w:val="22"/>
          <w:szCs w:val="22"/>
        </w:rPr>
      </w:pPr>
    </w:p>
    <w:p w14:paraId="75B6A913" w14:textId="4967E9B0" w:rsidR="004F7A1A" w:rsidRPr="004F7A1A" w:rsidRDefault="008216EF" w:rsidP="004F7A1A">
      <w:pPr>
        <w:pStyle w:val="NoSpacing"/>
        <w:rPr>
          <w:rFonts w:ascii="Arial" w:hAnsi="Arial" w:cs="Arial"/>
        </w:rPr>
      </w:pPr>
      <w:r>
        <w:rPr>
          <w:rFonts w:ascii="Arial" w:hAnsi="Arial" w:cs="Arial"/>
          <w:b/>
        </w:rPr>
        <w:t xml:space="preserve">SUBAPPLICATIONS DUE TO </w:t>
      </w:r>
      <w:r w:rsidR="003D2107">
        <w:rPr>
          <w:rFonts w:ascii="Arial" w:hAnsi="Arial" w:cs="Arial"/>
          <w:b/>
        </w:rPr>
        <w:t>DHSES:</w:t>
      </w:r>
      <w:r w:rsidR="003D2107">
        <w:rPr>
          <w:rFonts w:ascii="Arial" w:hAnsi="Arial" w:cs="Arial"/>
          <w:b/>
        </w:rPr>
        <w:tab/>
      </w:r>
      <w:r w:rsidR="004F7A1A" w:rsidRPr="004F7A1A">
        <w:rPr>
          <w:rFonts w:ascii="Arial" w:hAnsi="Arial" w:cs="Arial"/>
        </w:rPr>
        <w:t xml:space="preserve">Original date: </w:t>
      </w:r>
      <w:r w:rsidR="006D7AC4" w:rsidRPr="004F7A1A">
        <w:rPr>
          <w:rFonts w:ascii="Arial" w:hAnsi="Arial" w:cs="Arial"/>
        </w:rPr>
        <w:t>5:00pm, Wednesday</w:t>
      </w:r>
      <w:r w:rsidR="003D2107" w:rsidRPr="004F7A1A">
        <w:rPr>
          <w:rFonts w:ascii="Arial" w:hAnsi="Arial" w:cs="Arial"/>
        </w:rPr>
        <w:t>,</w:t>
      </w:r>
      <w:r w:rsidR="006D7AC4" w:rsidRPr="004F7A1A">
        <w:rPr>
          <w:rFonts w:ascii="Arial" w:hAnsi="Arial" w:cs="Arial"/>
        </w:rPr>
        <w:t xml:space="preserve"> May 4,</w:t>
      </w:r>
      <w:r w:rsidR="003D2107" w:rsidRPr="004F7A1A">
        <w:rPr>
          <w:rFonts w:ascii="Arial" w:hAnsi="Arial" w:cs="Arial"/>
        </w:rPr>
        <w:t xml:space="preserve"> 2022</w:t>
      </w:r>
    </w:p>
    <w:p w14:paraId="327CD70F" w14:textId="710D413A" w:rsidR="004F7A1A" w:rsidRPr="004F7A1A" w:rsidRDefault="004F7A1A" w:rsidP="004F7A1A">
      <w:pPr>
        <w:pStyle w:val="NoSpacing"/>
        <w:rPr>
          <w:rFonts w:ascii="Arial" w:hAnsi="Arial" w:cs="Arial"/>
          <w:b/>
          <w:bCs/>
        </w:rPr>
      </w:pPr>
      <w:r w:rsidRPr="004F7A1A">
        <w:rPr>
          <w:rFonts w:ascii="Arial" w:hAnsi="Arial" w:cs="Arial"/>
        </w:rPr>
        <w:tab/>
      </w:r>
      <w:r w:rsidRPr="004F7A1A">
        <w:rPr>
          <w:rFonts w:ascii="Arial" w:hAnsi="Arial" w:cs="Arial"/>
        </w:rPr>
        <w:tab/>
      </w:r>
      <w:r w:rsidRPr="004F7A1A">
        <w:rPr>
          <w:rFonts w:ascii="Arial" w:hAnsi="Arial" w:cs="Arial"/>
        </w:rPr>
        <w:tab/>
      </w:r>
      <w:r w:rsidRPr="004F7A1A">
        <w:rPr>
          <w:rFonts w:ascii="Arial" w:hAnsi="Arial" w:cs="Arial"/>
        </w:rPr>
        <w:tab/>
      </w:r>
      <w:r w:rsidRPr="004F7A1A">
        <w:rPr>
          <w:rFonts w:ascii="Arial" w:hAnsi="Arial" w:cs="Arial"/>
        </w:rPr>
        <w:tab/>
      </w:r>
      <w:r w:rsidRPr="004F7A1A">
        <w:rPr>
          <w:rFonts w:ascii="Arial" w:hAnsi="Arial" w:cs="Arial"/>
        </w:rPr>
        <w:tab/>
      </w:r>
      <w:r w:rsidRPr="00F95E56">
        <w:rPr>
          <w:rFonts w:ascii="Arial" w:hAnsi="Arial" w:cs="Arial"/>
          <w:b/>
          <w:bCs/>
        </w:rPr>
        <w:t>Revised date: Friday, June 1, 2022</w:t>
      </w:r>
    </w:p>
    <w:p w14:paraId="74252070" w14:textId="636FAE99" w:rsidR="0038263B" w:rsidRDefault="0038263B" w:rsidP="004F7A1A">
      <w:pPr>
        <w:pStyle w:val="NoSpacing"/>
      </w:pPr>
    </w:p>
    <w:p w14:paraId="685F6BA7" w14:textId="4934E3FF" w:rsidR="00335BB2" w:rsidRDefault="00335BB2" w:rsidP="00F04D04">
      <w:pPr>
        <w:pStyle w:val="insideaddress"/>
        <w:spacing w:after="120"/>
        <w:rPr>
          <w:rFonts w:ascii="Arial" w:hAnsi="Arial" w:cs="Arial"/>
          <w:bCs/>
          <w:i/>
          <w:iCs/>
          <w:sz w:val="18"/>
          <w:szCs w:val="18"/>
        </w:rPr>
      </w:pPr>
      <w:r w:rsidRPr="003543DD">
        <w:rPr>
          <w:rFonts w:ascii="Arial" w:hAnsi="Arial" w:cs="Arial"/>
          <w:bCs/>
          <w:i/>
          <w:iCs/>
          <w:sz w:val="18"/>
          <w:szCs w:val="18"/>
        </w:rPr>
        <w:t xml:space="preserve">(To disseminate program information to the widest possible audience, DHSES places program information on its website and asks that County Emergency Managers, Mitigation Coordinators, and other recipients of this notice to forward the information to interested eligible subapplicants.)    </w:t>
      </w:r>
    </w:p>
    <w:p w14:paraId="00EB3FF8" w14:textId="3950074E" w:rsidR="000F181C" w:rsidRPr="00E5417B" w:rsidRDefault="000F181C" w:rsidP="00E5417B">
      <w:pPr>
        <w:pStyle w:val="insideaddress"/>
        <w:spacing w:after="120"/>
        <w:jc w:val="both"/>
        <w:rPr>
          <w:rFonts w:ascii="Arial" w:hAnsi="Arial" w:cs="Arial"/>
          <w:bCs/>
          <w:sz w:val="22"/>
          <w:szCs w:val="22"/>
        </w:rPr>
      </w:pPr>
      <w:r w:rsidRPr="00E5417B">
        <w:rPr>
          <w:rFonts w:ascii="Arial" w:hAnsi="Arial" w:cs="Arial"/>
          <w:bCs/>
          <w:sz w:val="22"/>
          <w:szCs w:val="22"/>
        </w:rPr>
        <w:t xml:space="preserve">* Please note: Advance Assistance </w:t>
      </w:r>
      <w:r w:rsidR="00BD6C4E">
        <w:rPr>
          <w:rFonts w:ascii="Arial" w:hAnsi="Arial" w:cs="Arial"/>
          <w:bCs/>
          <w:sz w:val="22"/>
          <w:szCs w:val="22"/>
        </w:rPr>
        <w:t>sub</w:t>
      </w:r>
      <w:r w:rsidRPr="00E5417B">
        <w:rPr>
          <w:rFonts w:ascii="Arial" w:hAnsi="Arial" w:cs="Arial"/>
          <w:bCs/>
          <w:sz w:val="22"/>
          <w:szCs w:val="22"/>
        </w:rPr>
        <w:t xml:space="preserve">applications are eligible through this funding opportunity up to the federally allowed maximum amount of $10,000,000.  Additionally, 5 </w:t>
      </w:r>
      <w:r w:rsidR="003214BB">
        <w:rPr>
          <w:rFonts w:ascii="Arial" w:hAnsi="Arial" w:cs="Arial"/>
          <w:bCs/>
          <w:sz w:val="22"/>
          <w:szCs w:val="22"/>
        </w:rPr>
        <w:t>P</w:t>
      </w:r>
      <w:r w:rsidRPr="00E5417B">
        <w:rPr>
          <w:rFonts w:ascii="Arial" w:hAnsi="Arial" w:cs="Arial"/>
          <w:bCs/>
          <w:sz w:val="22"/>
          <w:szCs w:val="22"/>
        </w:rPr>
        <w:t xml:space="preserve">ercent Initiative </w:t>
      </w:r>
      <w:r w:rsidR="002F613D">
        <w:rPr>
          <w:rFonts w:ascii="Arial" w:hAnsi="Arial" w:cs="Arial"/>
          <w:bCs/>
          <w:sz w:val="22"/>
          <w:szCs w:val="22"/>
        </w:rPr>
        <w:t>sub</w:t>
      </w:r>
      <w:r w:rsidRPr="00E5417B">
        <w:rPr>
          <w:rFonts w:ascii="Arial" w:hAnsi="Arial" w:cs="Arial"/>
          <w:bCs/>
          <w:sz w:val="22"/>
          <w:szCs w:val="22"/>
        </w:rPr>
        <w:t xml:space="preserve">applications are also eligible through this funding opportunity. </w:t>
      </w:r>
      <w:r w:rsidR="00E5417B" w:rsidRPr="00E5417B">
        <w:rPr>
          <w:rFonts w:ascii="Arial" w:hAnsi="Arial" w:cs="Arial"/>
          <w:bCs/>
          <w:sz w:val="22"/>
          <w:szCs w:val="22"/>
        </w:rPr>
        <w:t>A</w:t>
      </w:r>
      <w:r w:rsidR="00E5417B" w:rsidRPr="00E5417B">
        <w:rPr>
          <w:rFonts w:ascii="Arial" w:hAnsi="Arial" w:cs="Arial"/>
          <w:sz w:val="22"/>
          <w:szCs w:val="22"/>
        </w:rPr>
        <w:t>ll program requirements are available in FEMA’s Hazard Mitigation Assistance (HMA) Unified Guidance and Addendum.</w:t>
      </w:r>
    </w:p>
    <w:p w14:paraId="4794CBE7" w14:textId="2BC0458B" w:rsidR="00487805" w:rsidRDefault="00487805" w:rsidP="00605310">
      <w:pPr>
        <w:pStyle w:val="NoSpacing"/>
        <w:spacing w:before="240"/>
        <w:rPr>
          <w:rFonts w:ascii="Arial" w:hAnsi="Arial" w:cs="Arial"/>
          <w:b/>
        </w:rPr>
      </w:pPr>
      <w:r w:rsidRPr="00141A90">
        <w:rPr>
          <w:rFonts w:ascii="Arial" w:hAnsi="Arial" w:cs="Arial"/>
          <w:b/>
          <w:u w:val="single"/>
        </w:rPr>
        <w:t>What is the HMGP</w:t>
      </w:r>
      <w:r w:rsidRPr="00141A90">
        <w:rPr>
          <w:rFonts w:ascii="Arial" w:hAnsi="Arial" w:cs="Arial"/>
          <w:b/>
        </w:rPr>
        <w:t>?</w:t>
      </w:r>
    </w:p>
    <w:p w14:paraId="0A38BA05" w14:textId="77777777" w:rsidR="00CE7069" w:rsidRPr="00141A90" w:rsidRDefault="00CE7069" w:rsidP="00605310">
      <w:pPr>
        <w:pStyle w:val="NoSpacing"/>
        <w:spacing w:before="240"/>
        <w:rPr>
          <w:rFonts w:ascii="Arial" w:hAnsi="Arial" w:cs="Arial"/>
          <w:b/>
        </w:rPr>
      </w:pPr>
    </w:p>
    <w:p w14:paraId="0BD28A7C" w14:textId="6F48C30B" w:rsidR="00487805" w:rsidRPr="00141A90" w:rsidRDefault="00487805" w:rsidP="003543DD">
      <w:pPr>
        <w:pStyle w:val="NoSpacing"/>
        <w:spacing w:after="240"/>
        <w:jc w:val="both"/>
        <w:rPr>
          <w:rFonts w:ascii="Arial" w:hAnsi="Arial" w:cs="Arial"/>
        </w:rPr>
      </w:pPr>
      <w:r w:rsidRPr="00141A90">
        <w:rPr>
          <w:rFonts w:ascii="Arial" w:hAnsi="Arial" w:cs="Arial"/>
        </w:rPr>
        <w:t xml:space="preserve">After a Presidential </w:t>
      </w:r>
      <w:r w:rsidR="00B04991">
        <w:rPr>
          <w:rFonts w:ascii="Arial" w:hAnsi="Arial" w:cs="Arial"/>
        </w:rPr>
        <w:t xml:space="preserve">disaster </w:t>
      </w:r>
      <w:r w:rsidRPr="00141A90">
        <w:rPr>
          <w:rFonts w:ascii="Arial" w:hAnsi="Arial" w:cs="Arial"/>
        </w:rPr>
        <w:t xml:space="preserve">declaration, </w:t>
      </w:r>
      <w:r w:rsidR="00F26A72" w:rsidRPr="00141A90">
        <w:rPr>
          <w:rFonts w:ascii="Arial" w:hAnsi="Arial" w:cs="Arial"/>
        </w:rPr>
        <w:t>New York</w:t>
      </w:r>
      <w:r w:rsidR="00C74E2D">
        <w:rPr>
          <w:rFonts w:ascii="Arial" w:hAnsi="Arial" w:cs="Arial"/>
        </w:rPr>
        <w:t xml:space="preserve"> State</w:t>
      </w:r>
      <w:r w:rsidR="00F26A72" w:rsidRPr="00141A90">
        <w:rPr>
          <w:rFonts w:ascii="Arial" w:hAnsi="Arial" w:cs="Arial"/>
        </w:rPr>
        <w:t xml:space="preserve"> </w:t>
      </w:r>
      <w:r w:rsidR="00A335EC" w:rsidRPr="00141A90">
        <w:rPr>
          <w:rFonts w:ascii="Arial" w:hAnsi="Arial" w:cs="Arial"/>
        </w:rPr>
        <w:t>receive</w:t>
      </w:r>
      <w:r w:rsidR="00F26A72" w:rsidRPr="00141A90">
        <w:rPr>
          <w:rFonts w:ascii="Arial" w:hAnsi="Arial" w:cs="Arial"/>
        </w:rPr>
        <w:t>s</w:t>
      </w:r>
      <w:r w:rsidR="00A335EC" w:rsidRPr="00141A90">
        <w:rPr>
          <w:rFonts w:ascii="Arial" w:hAnsi="Arial" w:cs="Arial"/>
        </w:rPr>
        <w:t xml:space="preserve"> </w:t>
      </w:r>
      <w:r w:rsidRPr="00141A90">
        <w:rPr>
          <w:rFonts w:ascii="Arial" w:hAnsi="Arial" w:cs="Arial"/>
        </w:rPr>
        <w:t xml:space="preserve">HMGP funds to administer grant programs that support </w:t>
      </w:r>
      <w:r w:rsidR="00B04991">
        <w:rPr>
          <w:rFonts w:ascii="Arial" w:hAnsi="Arial" w:cs="Arial"/>
        </w:rPr>
        <w:t xml:space="preserve">hazard </w:t>
      </w:r>
      <w:r w:rsidRPr="00141A90">
        <w:rPr>
          <w:rFonts w:ascii="Arial" w:hAnsi="Arial" w:cs="Arial"/>
        </w:rPr>
        <w:t xml:space="preserve">mitigation planning and long-term mitigation measures </w:t>
      </w:r>
      <w:r w:rsidR="00F26A72" w:rsidRPr="00141A90">
        <w:rPr>
          <w:rFonts w:ascii="Arial" w:hAnsi="Arial" w:cs="Arial"/>
        </w:rPr>
        <w:t>that</w:t>
      </w:r>
      <w:r w:rsidRPr="00141A90">
        <w:rPr>
          <w:rFonts w:ascii="Arial" w:hAnsi="Arial" w:cs="Arial"/>
        </w:rPr>
        <w:t xml:space="preserve"> </w:t>
      </w:r>
      <w:r w:rsidR="004F6F0E">
        <w:rPr>
          <w:rFonts w:ascii="Arial" w:hAnsi="Arial" w:cs="Arial"/>
        </w:rPr>
        <w:t>avoid loss of life, reduce damages to property and enhance</w:t>
      </w:r>
      <w:r w:rsidR="00F26A72" w:rsidRPr="00141A90">
        <w:rPr>
          <w:rFonts w:ascii="Arial" w:hAnsi="Arial" w:cs="Arial"/>
        </w:rPr>
        <w:t xml:space="preserve"> the State’s resiliency</w:t>
      </w:r>
      <w:r w:rsidR="004F6F0E">
        <w:rPr>
          <w:rFonts w:ascii="Arial" w:hAnsi="Arial" w:cs="Arial"/>
        </w:rPr>
        <w:t>.</w:t>
      </w:r>
      <w:r w:rsidR="00F26A72" w:rsidRPr="00141A90">
        <w:rPr>
          <w:rFonts w:ascii="Arial" w:hAnsi="Arial" w:cs="Arial"/>
        </w:rPr>
        <w:t xml:space="preserve"> </w:t>
      </w:r>
      <w:r w:rsidR="004F6F0E">
        <w:rPr>
          <w:rFonts w:ascii="Arial" w:hAnsi="Arial" w:cs="Arial"/>
        </w:rPr>
        <w:t xml:space="preserve"> </w:t>
      </w:r>
    </w:p>
    <w:p w14:paraId="6D108D50" w14:textId="6ADBD2C6" w:rsidR="00F515CA" w:rsidRPr="00F515CA" w:rsidRDefault="00487805" w:rsidP="00C12474">
      <w:pPr>
        <w:pStyle w:val="NoSpacing"/>
        <w:numPr>
          <w:ilvl w:val="0"/>
          <w:numId w:val="2"/>
        </w:numPr>
        <w:spacing w:after="60"/>
        <w:jc w:val="both"/>
        <w:rPr>
          <w:rFonts w:ascii="Arial" w:hAnsi="Arial" w:cs="Arial"/>
        </w:rPr>
      </w:pPr>
      <w:r w:rsidRPr="00141A90">
        <w:rPr>
          <w:rFonts w:ascii="Arial" w:hAnsi="Arial" w:cs="Arial"/>
          <w:b/>
        </w:rPr>
        <w:t>The State of New York</w:t>
      </w:r>
      <w:r w:rsidRPr="00141A90">
        <w:rPr>
          <w:rFonts w:ascii="Arial" w:hAnsi="Arial" w:cs="Arial"/>
        </w:rPr>
        <w:t>, acting through DHSES, is the applicant for FEMA’s HMGP</w:t>
      </w:r>
      <w:r w:rsidR="00D60E1D">
        <w:rPr>
          <w:rFonts w:ascii="Arial" w:hAnsi="Arial" w:cs="Arial"/>
        </w:rPr>
        <w:t>.</w:t>
      </w:r>
    </w:p>
    <w:p w14:paraId="7A3C5D74" w14:textId="0CD85878" w:rsidR="00487805" w:rsidRPr="00AC7158" w:rsidRDefault="00487805" w:rsidP="00C12474">
      <w:pPr>
        <w:pStyle w:val="NoSpacing"/>
        <w:numPr>
          <w:ilvl w:val="0"/>
          <w:numId w:val="2"/>
        </w:numPr>
        <w:spacing w:after="60"/>
        <w:jc w:val="both"/>
        <w:rPr>
          <w:rFonts w:ascii="Arial" w:hAnsi="Arial" w:cs="Arial"/>
        </w:rPr>
      </w:pPr>
      <w:r w:rsidRPr="005E4935">
        <w:rPr>
          <w:rFonts w:ascii="Arial" w:hAnsi="Arial" w:cs="Arial"/>
          <w:b/>
          <w:spacing w:val="-6"/>
        </w:rPr>
        <w:t xml:space="preserve">Eligible </w:t>
      </w:r>
      <w:r w:rsidR="00F46642" w:rsidRPr="005E4935">
        <w:rPr>
          <w:rFonts w:ascii="Arial" w:hAnsi="Arial" w:cs="Arial"/>
          <w:b/>
          <w:spacing w:val="-6"/>
        </w:rPr>
        <w:t>subapplicant</w:t>
      </w:r>
      <w:r w:rsidRPr="005E4935">
        <w:rPr>
          <w:rFonts w:ascii="Arial" w:hAnsi="Arial" w:cs="Arial"/>
          <w:b/>
          <w:spacing w:val="-6"/>
        </w:rPr>
        <w:t>s</w:t>
      </w:r>
      <w:r w:rsidR="00A114A9" w:rsidRPr="005E4935">
        <w:rPr>
          <w:rFonts w:ascii="Arial" w:hAnsi="Arial" w:cs="Arial"/>
          <w:spacing w:val="-6"/>
        </w:rPr>
        <w:t xml:space="preserve">:  </w:t>
      </w:r>
      <w:r w:rsidR="00AA39DE">
        <w:rPr>
          <w:rFonts w:ascii="Arial" w:hAnsi="Arial" w:cs="Arial"/>
          <w:spacing w:val="-6"/>
        </w:rPr>
        <w:t>F</w:t>
      </w:r>
      <w:r w:rsidR="00AE4A64" w:rsidRPr="005E4935">
        <w:rPr>
          <w:rFonts w:ascii="Arial" w:hAnsi="Arial" w:cs="Arial"/>
          <w:spacing w:val="-6"/>
        </w:rPr>
        <w:t>ederally recognized</w:t>
      </w:r>
      <w:r w:rsidRPr="005E4935">
        <w:rPr>
          <w:rFonts w:ascii="Arial" w:hAnsi="Arial" w:cs="Arial"/>
          <w:spacing w:val="-6"/>
        </w:rPr>
        <w:t xml:space="preserve"> Indian Tribal Governments, local governments (to include State-recognized Indian Tribes and authorized Indian Tribal organizations), and certain Private Non-Profits (PNPs) that perform a government-like function.  </w:t>
      </w:r>
      <w:r w:rsidR="006F0630" w:rsidRPr="005E4935">
        <w:rPr>
          <w:rFonts w:ascii="Arial" w:hAnsi="Arial" w:cs="Arial"/>
          <w:spacing w:val="-6"/>
        </w:rPr>
        <w:t>E</w:t>
      </w:r>
      <w:r w:rsidRPr="005E4935">
        <w:rPr>
          <w:rFonts w:ascii="Arial" w:hAnsi="Arial" w:cs="Arial"/>
          <w:spacing w:val="-6"/>
        </w:rPr>
        <w:t>ligible applicants under FEMA’s Public Assistance (PA) program</w:t>
      </w:r>
      <w:r w:rsidR="006F0630" w:rsidRPr="005E4935">
        <w:rPr>
          <w:rFonts w:ascii="Arial" w:hAnsi="Arial" w:cs="Arial"/>
          <w:spacing w:val="-6"/>
        </w:rPr>
        <w:t xml:space="preserve"> </w:t>
      </w:r>
      <w:r w:rsidRPr="005E4935">
        <w:rPr>
          <w:rFonts w:ascii="Arial" w:hAnsi="Arial" w:cs="Arial"/>
          <w:spacing w:val="-6"/>
        </w:rPr>
        <w:t xml:space="preserve">are </w:t>
      </w:r>
      <w:r w:rsidR="00A335EC" w:rsidRPr="005E4935">
        <w:rPr>
          <w:rFonts w:ascii="Arial" w:hAnsi="Arial" w:cs="Arial"/>
          <w:spacing w:val="-6"/>
        </w:rPr>
        <w:t xml:space="preserve">also </w:t>
      </w:r>
      <w:r w:rsidRPr="005E4935">
        <w:rPr>
          <w:rFonts w:ascii="Arial" w:hAnsi="Arial" w:cs="Arial"/>
          <w:spacing w:val="-6"/>
        </w:rPr>
        <w:t xml:space="preserve">eligible </w:t>
      </w:r>
      <w:r w:rsidR="00F46642" w:rsidRPr="005E4935">
        <w:rPr>
          <w:rFonts w:ascii="Arial" w:hAnsi="Arial" w:cs="Arial"/>
          <w:spacing w:val="-6"/>
        </w:rPr>
        <w:t>subapplicant</w:t>
      </w:r>
      <w:r w:rsidRPr="005E4935">
        <w:rPr>
          <w:rFonts w:ascii="Arial" w:hAnsi="Arial" w:cs="Arial"/>
          <w:spacing w:val="-6"/>
        </w:rPr>
        <w:t>s under the HMGP</w:t>
      </w:r>
      <w:r w:rsidR="00D60E1D">
        <w:rPr>
          <w:rFonts w:ascii="Arial" w:hAnsi="Arial" w:cs="Arial"/>
        </w:rPr>
        <w:t>.</w:t>
      </w:r>
    </w:p>
    <w:p w14:paraId="63FA2982" w14:textId="47478FB2" w:rsidR="00487805" w:rsidRPr="00AC7158" w:rsidRDefault="0042507D" w:rsidP="00C12474">
      <w:pPr>
        <w:pStyle w:val="NoSpacing"/>
        <w:numPr>
          <w:ilvl w:val="0"/>
          <w:numId w:val="2"/>
        </w:numPr>
        <w:spacing w:after="60"/>
        <w:jc w:val="both"/>
        <w:rPr>
          <w:rFonts w:ascii="Arial" w:hAnsi="Arial" w:cs="Arial"/>
        </w:rPr>
      </w:pPr>
      <w:r w:rsidRPr="00141A90">
        <w:rPr>
          <w:rFonts w:ascii="Arial" w:hAnsi="Arial" w:cs="Arial"/>
          <w:b/>
        </w:rPr>
        <w:t xml:space="preserve">Ineligible </w:t>
      </w:r>
      <w:r w:rsidR="00F46642" w:rsidRPr="00141A90">
        <w:rPr>
          <w:rFonts w:ascii="Arial" w:hAnsi="Arial" w:cs="Arial"/>
          <w:b/>
        </w:rPr>
        <w:t>subapplicant</w:t>
      </w:r>
      <w:r w:rsidRPr="00141A90">
        <w:rPr>
          <w:rFonts w:ascii="Arial" w:hAnsi="Arial" w:cs="Arial"/>
          <w:b/>
        </w:rPr>
        <w:t>s</w:t>
      </w:r>
      <w:r w:rsidRPr="00141A90">
        <w:rPr>
          <w:rFonts w:ascii="Arial" w:hAnsi="Arial" w:cs="Arial"/>
        </w:rPr>
        <w:t xml:space="preserve"> </w:t>
      </w:r>
      <w:r w:rsidRPr="00092CC7">
        <w:rPr>
          <w:rFonts w:ascii="Arial" w:hAnsi="Arial" w:cs="Arial"/>
          <w:bCs/>
        </w:rPr>
        <w:t xml:space="preserve">for HMGP assistance </w:t>
      </w:r>
      <w:r w:rsidR="00AE4A64" w:rsidRPr="00092CC7">
        <w:rPr>
          <w:rFonts w:ascii="Arial" w:hAnsi="Arial" w:cs="Arial"/>
          <w:bCs/>
        </w:rPr>
        <w:t>include</w:t>
      </w:r>
      <w:r w:rsidRPr="00141A90">
        <w:rPr>
          <w:rFonts w:ascii="Arial" w:hAnsi="Arial" w:cs="Arial"/>
        </w:rPr>
        <w:t xml:space="preserve"> </w:t>
      </w:r>
      <w:r w:rsidR="00487805" w:rsidRPr="00141A90">
        <w:rPr>
          <w:rFonts w:ascii="Arial" w:hAnsi="Arial" w:cs="Arial"/>
        </w:rPr>
        <w:t>individuals</w:t>
      </w:r>
      <w:r w:rsidR="00481774">
        <w:rPr>
          <w:rFonts w:ascii="Arial" w:hAnsi="Arial" w:cs="Arial"/>
        </w:rPr>
        <w:t xml:space="preserve"> and</w:t>
      </w:r>
      <w:r w:rsidR="00487805" w:rsidRPr="00141A90">
        <w:rPr>
          <w:rFonts w:ascii="Arial" w:hAnsi="Arial" w:cs="Arial"/>
        </w:rPr>
        <w:t xml:space="preserve"> businesses</w:t>
      </w:r>
      <w:r w:rsidR="00481774">
        <w:rPr>
          <w:rFonts w:ascii="Arial" w:hAnsi="Arial" w:cs="Arial"/>
        </w:rPr>
        <w:t>;</w:t>
      </w:r>
      <w:r w:rsidR="00487805" w:rsidRPr="00141A90">
        <w:rPr>
          <w:rFonts w:ascii="Arial" w:hAnsi="Arial" w:cs="Arial"/>
        </w:rPr>
        <w:t xml:space="preserve"> </w:t>
      </w:r>
      <w:r w:rsidRPr="00141A90">
        <w:rPr>
          <w:rFonts w:ascii="Arial" w:hAnsi="Arial" w:cs="Arial"/>
        </w:rPr>
        <w:t>however, e</w:t>
      </w:r>
      <w:r w:rsidR="00487805" w:rsidRPr="00141A90">
        <w:rPr>
          <w:rFonts w:ascii="Arial" w:hAnsi="Arial" w:cs="Arial"/>
        </w:rPr>
        <w:t xml:space="preserve">ligible </w:t>
      </w:r>
      <w:r w:rsidR="00F46642" w:rsidRPr="00141A90">
        <w:rPr>
          <w:rFonts w:ascii="Arial" w:hAnsi="Arial" w:cs="Arial"/>
        </w:rPr>
        <w:t>subapplicant</w:t>
      </w:r>
      <w:r w:rsidR="00A114A9" w:rsidRPr="00141A90">
        <w:rPr>
          <w:rFonts w:ascii="Arial" w:hAnsi="Arial" w:cs="Arial"/>
        </w:rPr>
        <w:t>s</w:t>
      </w:r>
      <w:r w:rsidR="00487805" w:rsidRPr="00141A90">
        <w:rPr>
          <w:rFonts w:ascii="Arial" w:hAnsi="Arial" w:cs="Arial"/>
        </w:rPr>
        <w:t xml:space="preserve"> may apply on their behalf</w:t>
      </w:r>
      <w:r w:rsidR="00D60E1D">
        <w:rPr>
          <w:rFonts w:ascii="Arial" w:hAnsi="Arial" w:cs="Arial"/>
        </w:rPr>
        <w:t>.</w:t>
      </w:r>
    </w:p>
    <w:p w14:paraId="0BB84F62" w14:textId="33C5AD49" w:rsidR="00A3368D" w:rsidRPr="005E4935" w:rsidRDefault="00B91EE7" w:rsidP="00C12474">
      <w:pPr>
        <w:pStyle w:val="NoSpacing"/>
        <w:numPr>
          <w:ilvl w:val="0"/>
          <w:numId w:val="2"/>
        </w:numPr>
        <w:spacing w:after="60"/>
        <w:jc w:val="both"/>
        <w:rPr>
          <w:rFonts w:ascii="Arial" w:hAnsi="Arial" w:cs="Arial"/>
          <w:spacing w:val="-2"/>
        </w:rPr>
      </w:pPr>
      <w:r w:rsidRPr="005E4935">
        <w:rPr>
          <w:rFonts w:ascii="Arial" w:hAnsi="Arial" w:cs="Arial"/>
          <w:b/>
          <w:spacing w:val="-2"/>
        </w:rPr>
        <w:t xml:space="preserve">FEMA’s planning requirement </w:t>
      </w:r>
      <w:r w:rsidR="0042507D" w:rsidRPr="00AD275C">
        <w:rPr>
          <w:rFonts w:ascii="Arial" w:hAnsi="Arial" w:cs="Arial"/>
          <w:bCs/>
          <w:spacing w:val="-2"/>
        </w:rPr>
        <w:t>must be met</w:t>
      </w:r>
      <w:r w:rsidR="0042507D" w:rsidRPr="005E4935">
        <w:rPr>
          <w:rFonts w:ascii="Arial" w:hAnsi="Arial" w:cs="Arial"/>
          <w:spacing w:val="-2"/>
        </w:rPr>
        <w:t xml:space="preserve"> by all </w:t>
      </w:r>
      <w:r w:rsidR="00F46642" w:rsidRPr="005E4935">
        <w:rPr>
          <w:rFonts w:ascii="Arial" w:hAnsi="Arial" w:cs="Arial"/>
          <w:spacing w:val="-2"/>
        </w:rPr>
        <w:t>subapplicant</w:t>
      </w:r>
      <w:r w:rsidR="0042507D" w:rsidRPr="005E4935">
        <w:rPr>
          <w:rFonts w:ascii="Arial" w:hAnsi="Arial" w:cs="Arial"/>
          <w:spacing w:val="-2"/>
        </w:rPr>
        <w:t xml:space="preserve">s </w:t>
      </w:r>
      <w:bookmarkStart w:id="2" w:name="_Hlk510537419"/>
      <w:r w:rsidR="00585A16" w:rsidRPr="005E4935">
        <w:rPr>
          <w:rFonts w:ascii="Arial" w:hAnsi="Arial" w:cs="Arial"/>
          <w:spacing w:val="-2"/>
        </w:rPr>
        <w:t>at the time of project approval</w:t>
      </w:r>
      <w:r w:rsidR="006F0630" w:rsidRPr="005E4935">
        <w:rPr>
          <w:rFonts w:ascii="Arial" w:hAnsi="Arial" w:cs="Arial"/>
          <w:spacing w:val="-2"/>
        </w:rPr>
        <w:t>.</w:t>
      </w:r>
      <w:bookmarkEnd w:id="2"/>
    </w:p>
    <w:p w14:paraId="218C2A39" w14:textId="389FA34B" w:rsidR="00ED689B" w:rsidRDefault="004F7A1A" w:rsidP="00C12474">
      <w:pPr>
        <w:pStyle w:val="NoSpacing"/>
        <w:numPr>
          <w:ilvl w:val="0"/>
          <w:numId w:val="3"/>
        </w:numPr>
        <w:spacing w:after="60"/>
        <w:ind w:left="720"/>
        <w:jc w:val="both"/>
        <w:rPr>
          <w:rFonts w:ascii="Arial" w:hAnsi="Arial" w:cs="Arial"/>
          <w:spacing w:val="-2"/>
        </w:rPr>
      </w:pPr>
      <w:r w:rsidRPr="00F95E56">
        <w:rPr>
          <w:rFonts w:ascii="Arial" w:hAnsi="Arial" w:cs="Arial"/>
          <w:b/>
          <w:spacing w:val="-2"/>
        </w:rPr>
        <w:t xml:space="preserve">For this funding opportunity, </w:t>
      </w:r>
      <w:r w:rsidRPr="00F95E56">
        <w:rPr>
          <w:rFonts w:ascii="Arial" w:hAnsi="Arial" w:cs="Arial"/>
          <w:bCs/>
          <w:spacing w:val="-2"/>
        </w:rPr>
        <w:t>HMGP</w:t>
      </w:r>
      <w:r w:rsidR="00487805" w:rsidRPr="00F95E56">
        <w:rPr>
          <w:rFonts w:ascii="Arial" w:hAnsi="Arial" w:cs="Arial"/>
          <w:bCs/>
          <w:spacing w:val="-2"/>
        </w:rPr>
        <w:t xml:space="preserve"> </w:t>
      </w:r>
      <w:r w:rsidR="00637EF5" w:rsidRPr="00F95E56">
        <w:rPr>
          <w:rFonts w:ascii="Arial" w:hAnsi="Arial" w:cs="Arial"/>
          <w:bCs/>
          <w:spacing w:val="-2"/>
        </w:rPr>
        <w:t xml:space="preserve">shall provide no less than </w:t>
      </w:r>
      <w:r w:rsidRPr="00F95E56">
        <w:rPr>
          <w:rFonts w:ascii="Arial" w:hAnsi="Arial" w:cs="Arial"/>
          <w:b/>
          <w:spacing w:val="-2"/>
          <w:sz w:val="24"/>
          <w:szCs w:val="24"/>
        </w:rPr>
        <w:t>90</w:t>
      </w:r>
      <w:r w:rsidR="00487805" w:rsidRPr="00F95E56">
        <w:rPr>
          <w:rFonts w:ascii="Arial" w:hAnsi="Arial" w:cs="Arial"/>
          <w:b/>
          <w:spacing w:val="-2"/>
          <w:sz w:val="24"/>
          <w:szCs w:val="24"/>
        </w:rPr>
        <w:t>%</w:t>
      </w:r>
      <w:r w:rsidR="00487805" w:rsidRPr="00F95E56">
        <w:rPr>
          <w:rFonts w:ascii="Arial" w:hAnsi="Arial" w:cs="Arial"/>
          <w:spacing w:val="-2"/>
        </w:rPr>
        <w:t xml:space="preserve"> reimbursement of eligible costs, </w:t>
      </w:r>
      <w:r w:rsidR="0032599F" w:rsidRPr="00F95E56">
        <w:rPr>
          <w:rFonts w:ascii="Arial" w:hAnsi="Arial" w:cs="Arial"/>
          <w:spacing w:val="-2"/>
        </w:rPr>
        <w:t>not to exceed</w:t>
      </w:r>
      <w:r w:rsidR="00487805" w:rsidRPr="00F95E56">
        <w:rPr>
          <w:rFonts w:ascii="Arial" w:hAnsi="Arial" w:cs="Arial"/>
          <w:spacing w:val="-2"/>
        </w:rPr>
        <w:t xml:space="preserve"> the award</w:t>
      </w:r>
      <w:r w:rsidR="00AD3AE8" w:rsidRPr="00F95E56">
        <w:rPr>
          <w:rFonts w:ascii="Arial" w:hAnsi="Arial" w:cs="Arial"/>
          <w:spacing w:val="-2"/>
        </w:rPr>
        <w:t xml:space="preserve">. The remaining </w:t>
      </w:r>
      <w:r w:rsidRPr="00F95E56">
        <w:rPr>
          <w:rFonts w:ascii="Arial" w:hAnsi="Arial" w:cs="Arial"/>
          <w:b/>
          <w:bCs/>
          <w:spacing w:val="-2"/>
          <w:sz w:val="24"/>
          <w:szCs w:val="24"/>
        </w:rPr>
        <w:t>10</w:t>
      </w:r>
      <w:r w:rsidR="00AD3AE8" w:rsidRPr="00F95E56">
        <w:rPr>
          <w:rFonts w:ascii="Arial" w:hAnsi="Arial" w:cs="Arial"/>
          <w:b/>
          <w:bCs/>
          <w:spacing w:val="-2"/>
          <w:sz w:val="24"/>
          <w:szCs w:val="24"/>
        </w:rPr>
        <w:t>%</w:t>
      </w:r>
      <w:r w:rsidR="00AD3AE8" w:rsidRPr="00F95E56">
        <w:rPr>
          <w:rFonts w:ascii="Arial" w:hAnsi="Arial" w:cs="Arial"/>
          <w:b/>
          <w:bCs/>
          <w:spacing w:val="-2"/>
        </w:rPr>
        <w:t xml:space="preserve"> </w:t>
      </w:r>
      <w:r w:rsidR="00AD3AE8" w:rsidRPr="00F95E56">
        <w:rPr>
          <w:rFonts w:ascii="Arial" w:hAnsi="Arial" w:cs="Arial"/>
          <w:spacing w:val="-2"/>
        </w:rPr>
        <w:t xml:space="preserve">non-federal match will be the responsibility of the </w:t>
      </w:r>
      <w:r w:rsidR="00E10F09" w:rsidRPr="00F95E56">
        <w:rPr>
          <w:rFonts w:ascii="Arial" w:hAnsi="Arial" w:cs="Arial"/>
          <w:spacing w:val="-2"/>
        </w:rPr>
        <w:t>subapplicant</w:t>
      </w:r>
      <w:r w:rsidR="00AD3AE8" w:rsidRPr="00F95E56">
        <w:rPr>
          <w:rFonts w:ascii="Arial" w:hAnsi="Arial" w:cs="Arial"/>
          <w:spacing w:val="-2"/>
        </w:rPr>
        <w:t>. The non-federal cost share may</w:t>
      </w:r>
      <w:r w:rsidR="00AD3AE8" w:rsidRPr="005E4935">
        <w:rPr>
          <w:rFonts w:ascii="Arial" w:hAnsi="Arial" w:cs="Arial"/>
          <w:spacing w:val="-2"/>
        </w:rPr>
        <w:t xml:space="preserve"> consist of cash, donated or i</w:t>
      </w:r>
      <w:r w:rsidR="00487805" w:rsidRPr="005E4935">
        <w:rPr>
          <w:rFonts w:ascii="Arial" w:hAnsi="Arial" w:cs="Arial"/>
          <w:spacing w:val="-2"/>
        </w:rPr>
        <w:t>n-kind services</w:t>
      </w:r>
      <w:r w:rsidR="00AD3AE8" w:rsidRPr="005E4935">
        <w:rPr>
          <w:rFonts w:ascii="Arial" w:hAnsi="Arial" w:cs="Arial"/>
          <w:spacing w:val="-2"/>
        </w:rPr>
        <w:t>,</w:t>
      </w:r>
      <w:r w:rsidR="00487805" w:rsidRPr="005E4935">
        <w:rPr>
          <w:rFonts w:ascii="Arial" w:hAnsi="Arial" w:cs="Arial"/>
          <w:spacing w:val="-2"/>
        </w:rPr>
        <w:t xml:space="preserve"> </w:t>
      </w:r>
    </w:p>
    <w:p w14:paraId="34D41788" w14:textId="77777777" w:rsidR="00ED689B" w:rsidRDefault="00ED689B" w:rsidP="00ED689B">
      <w:pPr>
        <w:pStyle w:val="NoSpacing"/>
        <w:spacing w:after="60"/>
        <w:ind w:left="720"/>
        <w:jc w:val="both"/>
        <w:rPr>
          <w:rFonts w:ascii="Arial" w:hAnsi="Arial" w:cs="Arial"/>
          <w:b/>
          <w:spacing w:val="-2"/>
        </w:rPr>
      </w:pPr>
    </w:p>
    <w:p w14:paraId="1D3802E4" w14:textId="77777777" w:rsidR="00ED689B" w:rsidRDefault="00ED689B" w:rsidP="00ED689B">
      <w:pPr>
        <w:pStyle w:val="NoSpacing"/>
        <w:spacing w:after="60"/>
        <w:ind w:left="720"/>
        <w:jc w:val="both"/>
        <w:rPr>
          <w:rFonts w:ascii="Arial" w:hAnsi="Arial" w:cs="Arial"/>
          <w:b/>
          <w:spacing w:val="-2"/>
        </w:rPr>
      </w:pPr>
    </w:p>
    <w:p w14:paraId="0E39C0C8" w14:textId="479794E5" w:rsidR="00487805" w:rsidRPr="005E4935" w:rsidRDefault="00B91EE7" w:rsidP="00ED689B">
      <w:pPr>
        <w:pStyle w:val="NoSpacing"/>
        <w:spacing w:after="60"/>
        <w:ind w:left="720"/>
        <w:jc w:val="both"/>
        <w:rPr>
          <w:rFonts w:ascii="Arial" w:hAnsi="Arial" w:cs="Arial"/>
          <w:spacing w:val="-2"/>
        </w:rPr>
      </w:pPr>
      <w:r w:rsidRPr="005E4935">
        <w:rPr>
          <w:rFonts w:ascii="Arial" w:hAnsi="Arial" w:cs="Arial"/>
          <w:spacing w:val="-2"/>
        </w:rPr>
        <w:t>materials</w:t>
      </w:r>
      <w:r w:rsidR="00AD3AE8" w:rsidRPr="005E4935">
        <w:rPr>
          <w:rFonts w:ascii="Arial" w:hAnsi="Arial" w:cs="Arial"/>
          <w:spacing w:val="-2"/>
        </w:rPr>
        <w:t xml:space="preserve">, or any combination thereof. </w:t>
      </w:r>
      <w:r w:rsidRPr="005E4935">
        <w:rPr>
          <w:rFonts w:ascii="Arial" w:hAnsi="Arial" w:cs="Arial"/>
          <w:spacing w:val="-2"/>
        </w:rPr>
        <w:t xml:space="preserve"> </w:t>
      </w:r>
      <w:r w:rsidR="00AD3AE8" w:rsidRPr="005E4935">
        <w:rPr>
          <w:rFonts w:ascii="Arial" w:hAnsi="Arial" w:cs="Arial"/>
          <w:spacing w:val="-2"/>
        </w:rPr>
        <w:t>W</w:t>
      </w:r>
      <w:r w:rsidRPr="005E4935">
        <w:rPr>
          <w:rFonts w:ascii="Arial" w:hAnsi="Arial" w:cs="Arial"/>
          <w:spacing w:val="-2"/>
        </w:rPr>
        <w:t xml:space="preserve">hile </w:t>
      </w:r>
      <w:r w:rsidR="00487805" w:rsidRPr="005E4935">
        <w:rPr>
          <w:rFonts w:ascii="Arial" w:hAnsi="Arial" w:cs="Arial"/>
          <w:spacing w:val="-2"/>
        </w:rPr>
        <w:t>most Federal funds cannot be used for the non-</w:t>
      </w:r>
      <w:r w:rsidR="00AD3AE8" w:rsidRPr="005E4935">
        <w:rPr>
          <w:rFonts w:ascii="Arial" w:hAnsi="Arial" w:cs="Arial"/>
          <w:spacing w:val="-2"/>
        </w:rPr>
        <w:t>f</w:t>
      </w:r>
      <w:r w:rsidR="00487805" w:rsidRPr="005E4935">
        <w:rPr>
          <w:rFonts w:ascii="Arial" w:hAnsi="Arial" w:cs="Arial"/>
          <w:spacing w:val="-2"/>
        </w:rPr>
        <w:t>ederal match, there are some exceptions</w:t>
      </w:r>
      <w:r w:rsidR="0034576E" w:rsidRPr="005E4935">
        <w:rPr>
          <w:rFonts w:ascii="Arial" w:hAnsi="Arial" w:cs="Arial"/>
          <w:spacing w:val="-2"/>
        </w:rPr>
        <w:t>.</w:t>
      </w:r>
      <w:r w:rsidR="00571092" w:rsidRPr="005E4935">
        <w:rPr>
          <w:rStyle w:val="FootnoteReference"/>
          <w:rFonts w:ascii="Arial" w:hAnsi="Arial" w:cs="Arial"/>
          <w:spacing w:val="-2"/>
        </w:rPr>
        <w:footnoteReference w:id="2"/>
      </w:r>
    </w:p>
    <w:p w14:paraId="28909278" w14:textId="4C8D8F1A" w:rsidR="00AD178C" w:rsidRDefault="00E46943" w:rsidP="00C12474">
      <w:pPr>
        <w:pStyle w:val="NoSpacing"/>
        <w:numPr>
          <w:ilvl w:val="0"/>
          <w:numId w:val="4"/>
        </w:numPr>
        <w:spacing w:after="60"/>
        <w:jc w:val="both"/>
        <w:rPr>
          <w:rFonts w:ascii="Arial" w:hAnsi="Arial" w:cs="Arial"/>
          <w:i/>
          <w:iCs/>
          <w:sz w:val="18"/>
          <w:szCs w:val="18"/>
        </w:rPr>
      </w:pPr>
      <w:r w:rsidRPr="00141A90">
        <w:rPr>
          <w:rFonts w:ascii="Arial" w:hAnsi="Arial" w:cs="Arial"/>
          <w:b/>
        </w:rPr>
        <w:t>I</w:t>
      </w:r>
      <w:r w:rsidR="00AD178C" w:rsidRPr="00141A90">
        <w:rPr>
          <w:rFonts w:ascii="Arial" w:hAnsi="Arial" w:cs="Arial"/>
          <w:b/>
        </w:rPr>
        <w:t>nformation about the HMGP</w:t>
      </w:r>
      <w:r w:rsidR="00D06472" w:rsidRPr="00141A90">
        <w:rPr>
          <w:rFonts w:ascii="Arial" w:hAnsi="Arial" w:cs="Arial"/>
          <w:b/>
        </w:rPr>
        <w:t xml:space="preserve"> </w:t>
      </w:r>
      <w:r w:rsidR="00D06472" w:rsidRPr="00141A90">
        <w:rPr>
          <w:rFonts w:ascii="Arial" w:hAnsi="Arial" w:cs="Arial"/>
        </w:rPr>
        <w:t>and</w:t>
      </w:r>
      <w:r w:rsidR="00AD178C" w:rsidRPr="00141A90">
        <w:rPr>
          <w:rFonts w:ascii="Arial" w:hAnsi="Arial" w:cs="Arial"/>
        </w:rPr>
        <w:t xml:space="preserve"> </w:t>
      </w:r>
      <w:r w:rsidRPr="00141A90">
        <w:rPr>
          <w:rFonts w:ascii="Arial" w:hAnsi="Arial" w:cs="Arial"/>
        </w:rPr>
        <w:t xml:space="preserve">all </w:t>
      </w:r>
      <w:r w:rsidR="00AD178C" w:rsidRPr="00141A90">
        <w:rPr>
          <w:rFonts w:ascii="Arial" w:hAnsi="Arial" w:cs="Arial"/>
        </w:rPr>
        <w:t xml:space="preserve">program requirements </w:t>
      </w:r>
      <w:r w:rsidR="005D6C28">
        <w:rPr>
          <w:rFonts w:ascii="Arial" w:hAnsi="Arial" w:cs="Arial"/>
        </w:rPr>
        <w:t xml:space="preserve">are </w:t>
      </w:r>
      <w:r w:rsidR="00AD178C" w:rsidRPr="00141A90">
        <w:rPr>
          <w:rFonts w:ascii="Arial" w:hAnsi="Arial" w:cs="Arial"/>
        </w:rPr>
        <w:t>available in FEMA’s Hazard Mitigation Assistance (HMA) Unified Guidance and Addendum</w:t>
      </w:r>
      <w:r w:rsidR="00DE2977">
        <w:rPr>
          <w:rFonts w:ascii="Arial" w:hAnsi="Arial" w:cs="Arial"/>
        </w:rPr>
        <w:t xml:space="preserve"> </w:t>
      </w:r>
      <w:r w:rsidR="004F6F0E" w:rsidRPr="004F6F0E">
        <w:rPr>
          <w:rFonts w:ascii="Arial" w:hAnsi="Arial" w:cs="Arial"/>
          <w:i/>
          <w:iCs/>
          <w:sz w:val="18"/>
          <w:szCs w:val="18"/>
        </w:rPr>
        <w:t>(see link to guidance under “How to Apply</w:t>
      </w:r>
      <w:r w:rsidR="004F6F0E">
        <w:rPr>
          <w:rFonts w:ascii="Arial" w:hAnsi="Arial" w:cs="Arial"/>
          <w:i/>
          <w:iCs/>
          <w:sz w:val="18"/>
          <w:szCs w:val="18"/>
        </w:rPr>
        <w:t>”</w:t>
      </w:r>
      <w:r w:rsidR="004F6F0E" w:rsidRPr="004F6F0E">
        <w:rPr>
          <w:rFonts w:ascii="Arial" w:hAnsi="Arial" w:cs="Arial"/>
          <w:i/>
          <w:iCs/>
          <w:sz w:val="18"/>
          <w:szCs w:val="18"/>
        </w:rPr>
        <w:t xml:space="preserve"> at the end of this announcement</w:t>
      </w:r>
      <w:r w:rsidR="004F6F0E">
        <w:rPr>
          <w:rFonts w:ascii="Arial" w:hAnsi="Arial" w:cs="Arial"/>
          <w:i/>
          <w:iCs/>
          <w:sz w:val="18"/>
          <w:szCs w:val="18"/>
        </w:rPr>
        <w:t>).</w:t>
      </w:r>
    </w:p>
    <w:p w14:paraId="5538BE3F" w14:textId="5C442E58" w:rsidR="00582206" w:rsidRPr="000F181C" w:rsidRDefault="00F515CA" w:rsidP="00C12474">
      <w:pPr>
        <w:pStyle w:val="NoSpacing"/>
        <w:numPr>
          <w:ilvl w:val="0"/>
          <w:numId w:val="4"/>
        </w:numPr>
        <w:autoSpaceDE w:val="0"/>
        <w:autoSpaceDN w:val="0"/>
        <w:adjustRightInd w:val="0"/>
        <w:spacing w:after="60"/>
        <w:jc w:val="both"/>
        <w:rPr>
          <w:rFonts w:ascii="Arial" w:hAnsi="Arial" w:cs="Arial"/>
          <w:sz w:val="18"/>
          <w:szCs w:val="18"/>
        </w:rPr>
      </w:pPr>
      <w:bookmarkStart w:id="3" w:name="_Hlk510628491"/>
      <w:r w:rsidRPr="00582206">
        <w:rPr>
          <w:rFonts w:ascii="Arial" w:hAnsi="Arial" w:cs="Arial"/>
          <w:b/>
        </w:rPr>
        <w:t xml:space="preserve">HMGP funded projects must be cost-effective </w:t>
      </w:r>
      <w:r w:rsidRPr="00582206">
        <w:rPr>
          <w:rFonts w:ascii="Arial" w:hAnsi="Arial" w:cs="Arial"/>
        </w:rPr>
        <w:t>through verification that future benefits (losses avoided) are equal to or greater than the project’s cost</w:t>
      </w:r>
      <w:r w:rsidR="00582206" w:rsidRPr="00582206">
        <w:rPr>
          <w:rFonts w:ascii="Arial" w:hAnsi="Arial" w:cs="Arial"/>
        </w:rPr>
        <w:t xml:space="preserve">. </w:t>
      </w:r>
    </w:p>
    <w:p w14:paraId="3E35D313" w14:textId="35EFF0E2" w:rsidR="000F181C" w:rsidRPr="00582206" w:rsidRDefault="000F181C" w:rsidP="000F181C">
      <w:pPr>
        <w:pStyle w:val="NoSpacing"/>
        <w:autoSpaceDE w:val="0"/>
        <w:autoSpaceDN w:val="0"/>
        <w:adjustRightInd w:val="0"/>
        <w:spacing w:after="60"/>
        <w:ind w:left="720"/>
        <w:jc w:val="both"/>
        <w:rPr>
          <w:rFonts w:ascii="Arial" w:hAnsi="Arial" w:cs="Arial"/>
          <w:sz w:val="18"/>
          <w:szCs w:val="18"/>
        </w:rPr>
      </w:pPr>
      <w:r>
        <w:rPr>
          <w:rFonts w:ascii="Arial" w:hAnsi="Arial" w:cs="Arial"/>
          <w:b/>
        </w:rPr>
        <w:t xml:space="preserve"> </w:t>
      </w:r>
    </w:p>
    <w:p w14:paraId="165DC018" w14:textId="70CF212D" w:rsidR="00582206" w:rsidRPr="00E5417B" w:rsidRDefault="00582206" w:rsidP="00E5417B">
      <w:pPr>
        <w:pStyle w:val="NoSpacing"/>
        <w:autoSpaceDE w:val="0"/>
        <w:autoSpaceDN w:val="0"/>
        <w:adjustRightInd w:val="0"/>
        <w:spacing w:after="240"/>
        <w:jc w:val="both"/>
        <w:rPr>
          <w:rFonts w:ascii="Arial" w:hAnsi="Arial" w:cs="Arial"/>
        </w:rPr>
      </w:pPr>
      <w:r w:rsidRPr="00E5417B">
        <w:rPr>
          <w:rFonts w:ascii="Arial" w:hAnsi="Arial" w:cs="Arial"/>
        </w:rPr>
        <w:t>To receive HMGP funding, FEMA requires that a project be proven cost-effective using FEMA’s Benefit-Cost Analysis (BCA) Toolkit.</w:t>
      </w:r>
      <w:r w:rsidRPr="00E5417B">
        <w:rPr>
          <w:rStyle w:val="FootnoteReference"/>
          <w:rFonts w:ascii="Arial" w:hAnsi="Arial" w:cs="Arial"/>
        </w:rPr>
        <w:footnoteReference w:id="3"/>
      </w:r>
      <w:r w:rsidRPr="00E5417B">
        <w:rPr>
          <w:rFonts w:ascii="Arial" w:hAnsi="Arial" w:cs="Arial"/>
        </w:rPr>
        <w:t xml:space="preserve"> If a formal BCA achieving a Benefit Cost Ratio (BCR) of 1.0 or greater (with supporting documentation) is not provided, </w:t>
      </w:r>
      <w:r w:rsidRPr="00E5417B">
        <w:rPr>
          <w:rFonts w:ascii="Arial" w:hAnsi="Arial" w:cs="Arial"/>
          <w:i/>
          <w:iCs/>
        </w:rPr>
        <w:t>substantive information</w:t>
      </w:r>
      <w:r w:rsidRPr="00E5417B">
        <w:rPr>
          <w:rFonts w:ascii="Arial" w:hAnsi="Arial" w:cs="Arial"/>
        </w:rPr>
        <w:t xml:space="preserve"> to demonstrate that a BCR of 1.0 or greater is achievable must be included.  Either instance requires supporting documentation, including but not limited to: a completed NYS DHSES BCA Worksheet, documentation of historical damages (which may include a detailed attestation by a community official), copies of invoices, Project Worksheets (PWs) from FEMA’s Public Assistance (PA) program, likelihood of future damages (including the population impacted).  </w:t>
      </w:r>
    </w:p>
    <w:p w14:paraId="157DB05B" w14:textId="601B32C4" w:rsidR="00487805" w:rsidRPr="00141A90" w:rsidRDefault="00487805" w:rsidP="003543DD">
      <w:pPr>
        <w:spacing w:after="0"/>
        <w:jc w:val="both"/>
        <w:rPr>
          <w:rFonts w:ascii="Arial" w:hAnsi="Arial" w:cs="Arial"/>
          <w:b/>
          <w:u w:val="single"/>
        </w:rPr>
      </w:pPr>
      <w:r w:rsidRPr="00141A90">
        <w:rPr>
          <w:rFonts w:ascii="Arial" w:hAnsi="Arial" w:cs="Arial"/>
          <w:b/>
          <w:u w:val="single"/>
        </w:rPr>
        <w:t>State Prioritie</w:t>
      </w:r>
      <w:bookmarkEnd w:id="3"/>
      <w:r w:rsidR="00E96BE5">
        <w:rPr>
          <w:rFonts w:ascii="Arial" w:hAnsi="Arial" w:cs="Arial"/>
          <w:b/>
          <w:u w:val="single"/>
        </w:rPr>
        <w:t>s for Project Grants</w:t>
      </w:r>
    </w:p>
    <w:p w14:paraId="59EEBDE1" w14:textId="2E8D3C83" w:rsidR="00D51A35" w:rsidRDefault="00CE4BBD" w:rsidP="003543DD">
      <w:pPr>
        <w:spacing w:after="120" w:line="240" w:lineRule="auto"/>
        <w:jc w:val="both"/>
        <w:rPr>
          <w:rFonts w:ascii="Arial" w:hAnsi="Arial" w:cs="Arial"/>
        </w:rPr>
      </w:pPr>
      <w:r w:rsidRPr="00FB3118">
        <w:rPr>
          <w:rFonts w:ascii="Arial" w:hAnsi="Arial" w:cs="Arial"/>
          <w:bCs/>
        </w:rPr>
        <w:t xml:space="preserve">The </w:t>
      </w:r>
      <w:r w:rsidR="00487805" w:rsidRPr="00FB3118">
        <w:rPr>
          <w:rFonts w:ascii="Arial" w:hAnsi="Arial" w:cs="Arial"/>
          <w:bCs/>
        </w:rPr>
        <w:t xml:space="preserve">HMGP </w:t>
      </w:r>
      <w:r w:rsidRPr="00FB3118">
        <w:rPr>
          <w:rFonts w:ascii="Arial" w:hAnsi="Arial" w:cs="Arial"/>
          <w:bCs/>
        </w:rPr>
        <w:t>allows NYS to establish priorities</w:t>
      </w:r>
      <w:r w:rsidR="00FB3118">
        <w:rPr>
          <w:rFonts w:ascii="Arial" w:hAnsi="Arial" w:cs="Arial"/>
        </w:rPr>
        <w:t xml:space="preserve"> </w:t>
      </w:r>
      <w:r w:rsidRPr="00141A90">
        <w:rPr>
          <w:rFonts w:ascii="Arial" w:hAnsi="Arial" w:cs="Arial"/>
        </w:rPr>
        <w:t>that target damaged areas and enhance its resiliency posture by promoting strategies and activities identified in the NYS Standard Multi-Hazard Mitigation Plan</w:t>
      </w:r>
      <w:r w:rsidR="00BD3A13">
        <w:rPr>
          <w:rFonts w:ascii="Arial" w:hAnsi="Arial" w:cs="Arial"/>
        </w:rPr>
        <w:t xml:space="preserve"> </w:t>
      </w:r>
      <w:r w:rsidR="009B5462">
        <w:rPr>
          <w:rFonts w:ascii="Arial" w:hAnsi="Arial" w:cs="Arial"/>
        </w:rPr>
        <w:t>(</w:t>
      </w:r>
      <w:hyperlink r:id="rId11" w:history="1">
        <w:r w:rsidR="009B5462" w:rsidRPr="00BE2EA4">
          <w:rPr>
            <w:rStyle w:val="Hyperlink"/>
            <w:rFonts w:ascii="Arial" w:hAnsi="Arial" w:cs="Arial"/>
            <w:sz w:val="16"/>
            <w:szCs w:val="16"/>
          </w:rPr>
          <w:t>https://mitigateny.availabs.org/strategies</w:t>
        </w:r>
      </w:hyperlink>
      <w:r w:rsidR="009B5462">
        <w:rPr>
          <w:rFonts w:ascii="Arial" w:hAnsi="Arial" w:cs="Arial"/>
        </w:rPr>
        <w:t>)</w:t>
      </w:r>
      <w:r w:rsidRPr="0082389C">
        <w:rPr>
          <w:rFonts w:ascii="Arial" w:hAnsi="Arial" w:cs="Arial"/>
        </w:rPr>
        <w:t xml:space="preserve"> </w:t>
      </w:r>
      <w:r w:rsidR="00D51A35">
        <w:rPr>
          <w:rFonts w:ascii="Arial" w:hAnsi="Arial" w:cs="Arial"/>
        </w:rPr>
        <w:t xml:space="preserve">For this grant opportunity, </w:t>
      </w:r>
      <w:r w:rsidR="00C81D7C">
        <w:rPr>
          <w:rFonts w:ascii="Arial" w:hAnsi="Arial" w:cs="Arial"/>
        </w:rPr>
        <w:t xml:space="preserve">HMGP funding will be available </w:t>
      </w:r>
      <w:r w:rsidR="0034576E">
        <w:rPr>
          <w:rFonts w:ascii="Arial" w:hAnsi="Arial" w:cs="Arial"/>
        </w:rPr>
        <w:t>s</w:t>
      </w:r>
      <w:r w:rsidR="00C81D7C">
        <w:rPr>
          <w:rFonts w:ascii="Arial" w:hAnsi="Arial" w:cs="Arial"/>
        </w:rPr>
        <w:t>tatewide</w:t>
      </w:r>
      <w:r w:rsidR="00E27169">
        <w:rPr>
          <w:rFonts w:ascii="Arial" w:hAnsi="Arial" w:cs="Arial"/>
        </w:rPr>
        <w:t xml:space="preserve"> for new subapplications and for resubmittals of pr</w:t>
      </w:r>
      <w:r w:rsidR="00605310">
        <w:rPr>
          <w:rFonts w:ascii="Arial" w:hAnsi="Arial" w:cs="Arial"/>
        </w:rPr>
        <w:t>ojects previously deemed eligible</w:t>
      </w:r>
      <w:r w:rsidR="0076108F">
        <w:rPr>
          <w:rFonts w:ascii="Arial" w:hAnsi="Arial" w:cs="Arial"/>
        </w:rPr>
        <w:t xml:space="preserve"> by FEMA</w:t>
      </w:r>
      <w:r w:rsidR="00605310">
        <w:rPr>
          <w:rFonts w:ascii="Arial" w:hAnsi="Arial" w:cs="Arial"/>
        </w:rPr>
        <w:t xml:space="preserve"> but unable to be funded through prior grant opportunities</w:t>
      </w:r>
      <w:r w:rsidR="00C81D7C">
        <w:rPr>
          <w:rFonts w:ascii="Arial" w:hAnsi="Arial" w:cs="Arial"/>
        </w:rPr>
        <w:t xml:space="preserve">. </w:t>
      </w:r>
      <w:r w:rsidR="009B5462">
        <w:rPr>
          <w:rFonts w:ascii="Arial" w:hAnsi="Arial" w:cs="Arial"/>
        </w:rPr>
        <w:t xml:space="preserve"> </w:t>
      </w:r>
      <w:r w:rsidR="00E6604E">
        <w:rPr>
          <w:rFonts w:ascii="Arial" w:hAnsi="Arial" w:cs="Arial"/>
        </w:rPr>
        <w:t>A</w:t>
      </w:r>
      <w:r w:rsidR="00770B9B" w:rsidRPr="00770B9B">
        <w:rPr>
          <w:rFonts w:ascii="Arial" w:hAnsi="Arial" w:cs="Arial"/>
        </w:rPr>
        <w:t xml:space="preserve">ll projects </w:t>
      </w:r>
      <w:r w:rsidR="00770B9B">
        <w:rPr>
          <w:rFonts w:ascii="Arial" w:hAnsi="Arial" w:cs="Arial"/>
        </w:rPr>
        <w:t xml:space="preserve">submitted </w:t>
      </w:r>
      <w:r w:rsidR="00770B9B" w:rsidRPr="00770B9B">
        <w:rPr>
          <w:rFonts w:ascii="Arial" w:hAnsi="Arial" w:cs="Arial"/>
        </w:rPr>
        <w:t>will be ranked against each other based on priorities outlined below.</w:t>
      </w:r>
    </w:p>
    <w:p w14:paraId="76355AFA" w14:textId="07101084" w:rsidR="00EB66B7" w:rsidRPr="004D2BCA" w:rsidRDefault="00EB66B7" w:rsidP="003543DD">
      <w:pPr>
        <w:spacing w:after="120" w:line="240" w:lineRule="auto"/>
        <w:jc w:val="both"/>
        <w:rPr>
          <w:rFonts w:ascii="Arial" w:hAnsi="Arial" w:cs="Arial"/>
          <w:sz w:val="24"/>
          <w:szCs w:val="24"/>
        </w:rPr>
      </w:pPr>
      <w:r w:rsidRPr="004D2BCA">
        <w:rPr>
          <w:rFonts w:ascii="Arial" w:hAnsi="Arial" w:cs="Arial"/>
        </w:rPr>
        <w:t xml:space="preserve">Following </w:t>
      </w:r>
      <w:r w:rsidR="00F43B31">
        <w:rPr>
          <w:rFonts w:ascii="Arial" w:hAnsi="Arial" w:cs="Arial"/>
        </w:rPr>
        <w:t>sub</w:t>
      </w:r>
      <w:r w:rsidRPr="004D2BCA">
        <w:rPr>
          <w:rFonts w:ascii="Arial" w:hAnsi="Arial" w:cs="Arial"/>
        </w:rPr>
        <w:t xml:space="preserve">application development, complete, eligible </w:t>
      </w:r>
      <w:r w:rsidR="00F43B31">
        <w:rPr>
          <w:rFonts w:ascii="Arial" w:hAnsi="Arial" w:cs="Arial"/>
        </w:rPr>
        <w:t>sub</w:t>
      </w:r>
      <w:r w:rsidRPr="004D2BCA">
        <w:rPr>
          <w:rFonts w:ascii="Arial" w:hAnsi="Arial" w:cs="Arial"/>
        </w:rPr>
        <w:t xml:space="preserve">applications will be scored based on priorities below and detailed further in the attached </w:t>
      </w:r>
      <w:r w:rsidR="00F43B31">
        <w:rPr>
          <w:rFonts w:ascii="Arial" w:hAnsi="Arial" w:cs="Arial"/>
        </w:rPr>
        <w:t>Sub</w:t>
      </w:r>
      <w:r w:rsidR="00665126">
        <w:rPr>
          <w:rFonts w:ascii="Arial" w:hAnsi="Arial" w:cs="Arial"/>
        </w:rPr>
        <w:t>a</w:t>
      </w:r>
      <w:r w:rsidRPr="004D2BCA">
        <w:rPr>
          <w:rFonts w:ascii="Arial" w:hAnsi="Arial" w:cs="Arial"/>
        </w:rPr>
        <w:t xml:space="preserve">pplication </w:t>
      </w:r>
      <w:r w:rsidR="00C87E47">
        <w:rPr>
          <w:rFonts w:ascii="Arial" w:hAnsi="Arial" w:cs="Arial"/>
        </w:rPr>
        <w:t>Development document</w:t>
      </w:r>
      <w:r w:rsidRPr="004D2BCA">
        <w:rPr>
          <w:rFonts w:ascii="Arial" w:hAnsi="Arial" w:cs="Arial"/>
        </w:rPr>
        <w:t xml:space="preserve">.  </w:t>
      </w:r>
      <w:r w:rsidR="008D4587">
        <w:rPr>
          <w:rFonts w:ascii="Arial" w:hAnsi="Arial" w:cs="Arial"/>
        </w:rPr>
        <w:t xml:space="preserve">While scoring will not take place until after </w:t>
      </w:r>
      <w:r w:rsidR="00665126">
        <w:rPr>
          <w:rFonts w:ascii="Arial" w:hAnsi="Arial" w:cs="Arial"/>
        </w:rPr>
        <w:t>sub</w:t>
      </w:r>
      <w:r w:rsidR="008D4587">
        <w:rPr>
          <w:rFonts w:ascii="Arial" w:hAnsi="Arial" w:cs="Arial"/>
        </w:rPr>
        <w:t xml:space="preserve">applications are submitted, </w:t>
      </w:r>
      <w:bookmarkStart w:id="4" w:name="_Hlk70349565"/>
      <w:r w:rsidR="008D4587">
        <w:rPr>
          <w:rFonts w:ascii="Arial" w:hAnsi="Arial" w:cs="Arial"/>
        </w:rPr>
        <w:t>i</w:t>
      </w:r>
      <w:r w:rsidRPr="004D2BCA">
        <w:rPr>
          <w:rFonts w:ascii="Arial" w:hAnsi="Arial" w:cs="Arial"/>
        </w:rPr>
        <w:t>t is recommended that subapplicants review these priorities and use the s</w:t>
      </w:r>
      <w:r w:rsidR="00957A92">
        <w:rPr>
          <w:rFonts w:ascii="Arial" w:hAnsi="Arial" w:cs="Arial"/>
        </w:rPr>
        <w:t>creening</w:t>
      </w:r>
      <w:r w:rsidRPr="004D2BCA">
        <w:rPr>
          <w:rFonts w:ascii="Arial" w:hAnsi="Arial" w:cs="Arial"/>
        </w:rPr>
        <w:t xml:space="preserve"> </w:t>
      </w:r>
      <w:r w:rsidR="00AD275C">
        <w:rPr>
          <w:rFonts w:ascii="Arial" w:hAnsi="Arial" w:cs="Arial"/>
        </w:rPr>
        <w:t xml:space="preserve">criteria </w:t>
      </w:r>
      <w:r w:rsidR="00183663">
        <w:rPr>
          <w:rFonts w:ascii="Arial" w:hAnsi="Arial" w:cs="Arial"/>
        </w:rPr>
        <w:t xml:space="preserve">during the </w:t>
      </w:r>
      <w:r w:rsidR="00665126">
        <w:rPr>
          <w:rFonts w:ascii="Arial" w:hAnsi="Arial" w:cs="Arial"/>
        </w:rPr>
        <w:t>sub</w:t>
      </w:r>
      <w:r w:rsidR="00AD275C">
        <w:rPr>
          <w:rFonts w:ascii="Arial" w:hAnsi="Arial" w:cs="Arial"/>
        </w:rPr>
        <w:t>application development process</w:t>
      </w:r>
      <w:r w:rsidRPr="004D2BCA">
        <w:rPr>
          <w:rFonts w:ascii="Arial" w:hAnsi="Arial" w:cs="Arial"/>
        </w:rPr>
        <w:t xml:space="preserve">. </w:t>
      </w:r>
      <w:bookmarkEnd w:id="4"/>
    </w:p>
    <w:tbl>
      <w:tblPr>
        <w:tblStyle w:val="TableGrid"/>
        <w:tblW w:w="5000" w:type="pct"/>
        <w:tblLook w:val="04A0" w:firstRow="1" w:lastRow="0" w:firstColumn="1" w:lastColumn="0" w:noHBand="0" w:noVBand="1"/>
      </w:tblPr>
      <w:tblGrid>
        <w:gridCol w:w="715"/>
        <w:gridCol w:w="9211"/>
      </w:tblGrid>
      <w:tr w:rsidR="0083759B" w:rsidRPr="00855F54" w14:paraId="3C4029A2" w14:textId="77777777" w:rsidTr="0083759B">
        <w:tc>
          <w:tcPr>
            <w:tcW w:w="5000" w:type="pct"/>
            <w:gridSpan w:val="2"/>
            <w:shd w:val="clear" w:color="auto" w:fill="D9D9D9" w:themeFill="background1" w:themeFillShade="D9"/>
          </w:tcPr>
          <w:p w14:paraId="5304F364" w14:textId="40DC0390" w:rsidR="0083759B" w:rsidRPr="00855F54" w:rsidRDefault="0083759B" w:rsidP="00855F54">
            <w:pPr>
              <w:jc w:val="center"/>
              <w:rPr>
                <w:rFonts w:ascii="Arial" w:hAnsi="Arial" w:cs="Arial"/>
                <w:b/>
                <w:bCs/>
              </w:rPr>
            </w:pPr>
            <w:r>
              <w:rPr>
                <w:rFonts w:ascii="Arial" w:hAnsi="Arial" w:cs="Arial"/>
                <w:b/>
                <w:bCs/>
              </w:rPr>
              <w:t xml:space="preserve">PRIORITIZATION </w:t>
            </w:r>
            <w:r w:rsidRPr="00855F54">
              <w:rPr>
                <w:rFonts w:ascii="Arial" w:hAnsi="Arial" w:cs="Arial"/>
                <w:b/>
                <w:bCs/>
              </w:rPr>
              <w:t>CRITERIA</w:t>
            </w:r>
          </w:p>
        </w:tc>
      </w:tr>
      <w:tr w:rsidR="0083759B" w14:paraId="4D10B67A" w14:textId="77777777" w:rsidTr="0083759B">
        <w:tc>
          <w:tcPr>
            <w:tcW w:w="360" w:type="pct"/>
          </w:tcPr>
          <w:p w14:paraId="30DEB2A6" w14:textId="4C27B50A" w:rsidR="0083759B" w:rsidRDefault="00770B9B" w:rsidP="00E71573">
            <w:pPr>
              <w:rPr>
                <w:rFonts w:ascii="Arial" w:hAnsi="Arial" w:cs="Arial"/>
              </w:rPr>
            </w:pPr>
            <w:bookmarkStart w:id="5" w:name="_Hlk68736232"/>
            <w:r>
              <w:rPr>
                <w:rFonts w:ascii="Arial" w:hAnsi="Arial" w:cs="Arial"/>
              </w:rPr>
              <w:t>1</w:t>
            </w:r>
          </w:p>
        </w:tc>
        <w:bookmarkEnd w:id="5"/>
        <w:tc>
          <w:tcPr>
            <w:tcW w:w="4640" w:type="pct"/>
          </w:tcPr>
          <w:p w14:paraId="048A0D7D" w14:textId="51ED82C5" w:rsidR="0083759B" w:rsidRDefault="0083759B" w:rsidP="00E71573">
            <w:pPr>
              <w:rPr>
                <w:rFonts w:ascii="Arial" w:hAnsi="Arial" w:cs="Arial"/>
              </w:rPr>
            </w:pPr>
            <w:r>
              <w:rPr>
                <w:rFonts w:ascii="Arial" w:hAnsi="Arial" w:cs="Arial"/>
              </w:rPr>
              <w:t>Projects located in Declared Counties</w:t>
            </w:r>
            <w:r w:rsidR="003C4010">
              <w:rPr>
                <w:rFonts w:ascii="Arial" w:hAnsi="Arial" w:cs="Arial"/>
              </w:rPr>
              <w:t xml:space="preserve"> -</w:t>
            </w:r>
            <w:r>
              <w:rPr>
                <w:rFonts w:ascii="Arial" w:hAnsi="Arial" w:cs="Arial"/>
              </w:rPr>
              <w:t xml:space="preserve"> </w:t>
            </w:r>
            <w:r w:rsidR="003C4010" w:rsidRPr="00D60DD5">
              <w:rPr>
                <w:rFonts w:ascii="Arial" w:hAnsi="Arial" w:cs="Arial"/>
              </w:rPr>
              <w:t>DR-</w:t>
            </w:r>
            <w:r w:rsidR="003C4010">
              <w:rPr>
                <w:rFonts w:ascii="Arial" w:hAnsi="Arial" w:cs="Arial"/>
              </w:rPr>
              <w:t>4615</w:t>
            </w:r>
            <w:r w:rsidR="003C4010" w:rsidRPr="00D60DD5">
              <w:rPr>
                <w:rFonts w:ascii="Arial" w:hAnsi="Arial" w:cs="Arial"/>
              </w:rPr>
              <w:t xml:space="preserve"> </w:t>
            </w:r>
            <w:r w:rsidR="003C4010">
              <w:rPr>
                <w:rFonts w:ascii="Arial" w:hAnsi="Arial" w:cs="Arial"/>
              </w:rPr>
              <w:t>(Remnants of Hurricane Ida)</w:t>
            </w:r>
          </w:p>
        </w:tc>
      </w:tr>
      <w:tr w:rsidR="0083759B" w14:paraId="0CEC0BB8" w14:textId="77777777" w:rsidTr="00F04D04">
        <w:tc>
          <w:tcPr>
            <w:tcW w:w="360" w:type="pct"/>
            <w:vAlign w:val="center"/>
          </w:tcPr>
          <w:p w14:paraId="46A7294D" w14:textId="12EC7F74" w:rsidR="0083759B" w:rsidRPr="00E30B99" w:rsidRDefault="00770B9B" w:rsidP="00F04D04">
            <w:pPr>
              <w:rPr>
                <w:rFonts w:ascii="Arial" w:hAnsi="Arial" w:cs="Arial"/>
              </w:rPr>
            </w:pPr>
            <w:r>
              <w:rPr>
                <w:rFonts w:ascii="Arial" w:hAnsi="Arial" w:cs="Arial"/>
              </w:rPr>
              <w:t>2</w:t>
            </w:r>
          </w:p>
        </w:tc>
        <w:tc>
          <w:tcPr>
            <w:tcW w:w="4640" w:type="pct"/>
          </w:tcPr>
          <w:p w14:paraId="43507698" w14:textId="783B3851" w:rsidR="0083759B" w:rsidRPr="00E30B99" w:rsidRDefault="00C87E47" w:rsidP="00F04D04">
            <w:pPr>
              <w:rPr>
                <w:rFonts w:ascii="Arial" w:hAnsi="Arial" w:cs="Arial"/>
              </w:rPr>
            </w:pPr>
            <w:r w:rsidRPr="0058393D">
              <w:rPr>
                <w:rFonts w:ascii="Arial" w:eastAsia="Times New Roman" w:hAnsi="Arial" w:cs="Arial"/>
              </w:rPr>
              <w:t xml:space="preserve">Projects </w:t>
            </w:r>
            <w:r w:rsidR="003C4010">
              <w:rPr>
                <w:rFonts w:ascii="Arial" w:eastAsia="Times New Roman" w:hAnsi="Arial" w:cs="Arial"/>
              </w:rPr>
              <w:t xml:space="preserve">to be </w:t>
            </w:r>
            <w:r w:rsidRPr="0058393D">
              <w:rPr>
                <w:rFonts w:ascii="Arial" w:eastAsia="Times New Roman" w:hAnsi="Arial" w:cs="Arial"/>
              </w:rPr>
              <w:t xml:space="preserve">completed in, or </w:t>
            </w:r>
            <w:r>
              <w:rPr>
                <w:rFonts w:ascii="Arial" w:eastAsia="Times New Roman" w:hAnsi="Arial" w:cs="Arial"/>
              </w:rPr>
              <w:t xml:space="preserve">that </w:t>
            </w:r>
            <w:r w:rsidRPr="0058393D">
              <w:rPr>
                <w:rFonts w:ascii="Arial" w:eastAsia="Times New Roman" w:hAnsi="Arial" w:cs="Arial"/>
              </w:rPr>
              <w:t>will have direct risk reduction benefits to</w:t>
            </w:r>
            <w:r w:rsidR="003C4010">
              <w:rPr>
                <w:rFonts w:ascii="Arial" w:eastAsia="Times New Roman" w:hAnsi="Arial" w:cs="Arial"/>
              </w:rPr>
              <w:t xml:space="preserve"> </w:t>
            </w:r>
            <w:r>
              <w:rPr>
                <w:rFonts w:ascii="Arial" w:eastAsia="Times New Roman" w:hAnsi="Arial" w:cs="Arial"/>
              </w:rPr>
              <w:t>vulnerable populations</w:t>
            </w:r>
            <w:r w:rsidRPr="0058393D">
              <w:rPr>
                <w:rFonts w:ascii="Arial" w:eastAsia="Times New Roman" w:hAnsi="Arial" w:cs="Arial"/>
              </w:rPr>
              <w:t>.</w:t>
            </w:r>
            <w:r w:rsidR="003543DD">
              <w:rPr>
                <w:rFonts w:ascii="Arial" w:eastAsia="Times New Roman" w:hAnsi="Arial" w:cs="Arial"/>
              </w:rPr>
              <w:t xml:space="preserve"> See below.</w:t>
            </w:r>
          </w:p>
        </w:tc>
      </w:tr>
      <w:tr w:rsidR="00800F16" w14:paraId="40E7736B" w14:textId="77777777" w:rsidTr="00F04D04">
        <w:tc>
          <w:tcPr>
            <w:tcW w:w="360" w:type="pct"/>
            <w:vAlign w:val="center"/>
          </w:tcPr>
          <w:p w14:paraId="54870811" w14:textId="373F770E" w:rsidR="00800F16" w:rsidRDefault="00800F16">
            <w:pPr>
              <w:rPr>
                <w:rFonts w:ascii="Arial" w:hAnsi="Arial" w:cs="Arial"/>
              </w:rPr>
            </w:pPr>
            <w:r>
              <w:rPr>
                <w:rFonts w:ascii="Arial" w:hAnsi="Arial" w:cs="Arial"/>
              </w:rPr>
              <w:t>3</w:t>
            </w:r>
          </w:p>
        </w:tc>
        <w:tc>
          <w:tcPr>
            <w:tcW w:w="4640" w:type="pct"/>
          </w:tcPr>
          <w:p w14:paraId="5B4D55F5" w14:textId="50DC874D" w:rsidR="00800F16" w:rsidRPr="00800F16" w:rsidRDefault="00800F16" w:rsidP="00E71573">
            <w:pPr>
              <w:rPr>
                <w:rFonts w:ascii="Arial" w:hAnsi="Arial" w:cs="Arial"/>
                <w:highlight w:val="yellow"/>
              </w:rPr>
            </w:pPr>
            <w:r w:rsidRPr="00800F16">
              <w:rPr>
                <w:rFonts w:ascii="Arial" w:hAnsi="Arial" w:cs="Arial"/>
              </w:rPr>
              <w:t xml:space="preserve">Projects that address climate change adaption and resiliency with consideration of the future impacts and risks associated with climate change.  This includes promoting climate resiliency and reducing risks associated with flooding, high winds, coastal erosion, droughts and wildfires.  </w:t>
            </w:r>
          </w:p>
        </w:tc>
      </w:tr>
      <w:tr w:rsidR="0083759B" w14:paraId="38B47950" w14:textId="77777777" w:rsidTr="00F04D04">
        <w:tc>
          <w:tcPr>
            <w:tcW w:w="360" w:type="pct"/>
            <w:vAlign w:val="center"/>
          </w:tcPr>
          <w:p w14:paraId="5FD97634" w14:textId="6A2A9C63" w:rsidR="0083759B" w:rsidRDefault="00800F16">
            <w:pPr>
              <w:rPr>
                <w:rFonts w:ascii="Arial" w:hAnsi="Arial" w:cs="Arial"/>
              </w:rPr>
            </w:pPr>
            <w:r>
              <w:rPr>
                <w:rFonts w:ascii="Arial" w:hAnsi="Arial" w:cs="Arial"/>
              </w:rPr>
              <w:t>4</w:t>
            </w:r>
          </w:p>
        </w:tc>
        <w:tc>
          <w:tcPr>
            <w:tcW w:w="4640" w:type="pct"/>
          </w:tcPr>
          <w:p w14:paraId="1F66A195" w14:textId="758ACF04" w:rsidR="0083759B" w:rsidRPr="00800F16" w:rsidRDefault="0083759B" w:rsidP="00E71573">
            <w:pPr>
              <w:rPr>
                <w:rFonts w:ascii="Arial" w:hAnsi="Arial" w:cs="Arial"/>
              </w:rPr>
            </w:pPr>
            <w:r w:rsidRPr="00800F16">
              <w:rPr>
                <w:rFonts w:ascii="Arial" w:hAnsi="Arial" w:cs="Arial"/>
              </w:rPr>
              <w:t xml:space="preserve">Projects that protect and/or mitigate risk to repetitive loss structures and critical infrastructure </w:t>
            </w:r>
          </w:p>
        </w:tc>
      </w:tr>
      <w:tr w:rsidR="0083759B" w14:paraId="582C6C5F" w14:textId="77777777" w:rsidTr="0083759B">
        <w:tc>
          <w:tcPr>
            <w:tcW w:w="360" w:type="pct"/>
          </w:tcPr>
          <w:p w14:paraId="5E56FE01" w14:textId="5899CC2B" w:rsidR="0083759B" w:rsidRPr="00E30B99" w:rsidRDefault="00800F16" w:rsidP="0083759B">
            <w:pPr>
              <w:jc w:val="right"/>
              <w:rPr>
                <w:rFonts w:ascii="Arial" w:hAnsi="Arial" w:cs="Arial"/>
              </w:rPr>
            </w:pPr>
            <w:r>
              <w:rPr>
                <w:rFonts w:ascii="Arial" w:hAnsi="Arial" w:cs="Arial"/>
              </w:rPr>
              <w:t>4</w:t>
            </w:r>
            <w:r w:rsidR="00770B9B">
              <w:rPr>
                <w:rFonts w:ascii="Arial" w:hAnsi="Arial" w:cs="Arial"/>
              </w:rPr>
              <w:t>.</w:t>
            </w:r>
            <w:r w:rsidR="0083759B" w:rsidRPr="00E30B99">
              <w:rPr>
                <w:rFonts w:ascii="Arial" w:hAnsi="Arial" w:cs="Arial"/>
              </w:rPr>
              <w:t>1</w:t>
            </w:r>
          </w:p>
        </w:tc>
        <w:tc>
          <w:tcPr>
            <w:tcW w:w="4640" w:type="pct"/>
          </w:tcPr>
          <w:p w14:paraId="302198F6" w14:textId="3F3B3F9A" w:rsidR="0083759B" w:rsidRPr="00800F16" w:rsidRDefault="00800F16" w:rsidP="00E71573">
            <w:pPr>
              <w:ind w:left="720"/>
              <w:rPr>
                <w:rFonts w:ascii="Arial" w:hAnsi="Arial" w:cs="Arial"/>
              </w:rPr>
            </w:pPr>
            <w:r w:rsidRPr="00800F16">
              <w:rPr>
                <w:rFonts w:ascii="Arial" w:hAnsi="Arial" w:cs="Arial"/>
              </w:rPr>
              <w:t>Projects that protect and/or mitigate risk to critical infrastructure</w:t>
            </w:r>
          </w:p>
        </w:tc>
      </w:tr>
      <w:tr w:rsidR="0083759B" w14:paraId="46C9449C" w14:textId="77777777" w:rsidTr="0083759B">
        <w:tc>
          <w:tcPr>
            <w:tcW w:w="360" w:type="pct"/>
          </w:tcPr>
          <w:p w14:paraId="2B5BE228" w14:textId="1EE7C84F" w:rsidR="0083759B" w:rsidRPr="00E30B99" w:rsidRDefault="00800F16" w:rsidP="0083759B">
            <w:pPr>
              <w:jc w:val="right"/>
              <w:rPr>
                <w:rFonts w:ascii="Arial" w:hAnsi="Arial" w:cs="Arial"/>
              </w:rPr>
            </w:pPr>
            <w:r>
              <w:rPr>
                <w:rFonts w:ascii="Arial" w:hAnsi="Arial" w:cs="Arial"/>
              </w:rPr>
              <w:t>4</w:t>
            </w:r>
            <w:r w:rsidR="0083759B" w:rsidRPr="00E30B99">
              <w:rPr>
                <w:rFonts w:ascii="Arial" w:hAnsi="Arial" w:cs="Arial"/>
              </w:rPr>
              <w:t>.2</w:t>
            </w:r>
          </w:p>
        </w:tc>
        <w:tc>
          <w:tcPr>
            <w:tcW w:w="4640" w:type="pct"/>
          </w:tcPr>
          <w:p w14:paraId="413129C3" w14:textId="06318596" w:rsidR="0083759B" w:rsidRPr="00800F16" w:rsidRDefault="0083759B" w:rsidP="00800F16">
            <w:pPr>
              <w:ind w:left="700"/>
              <w:rPr>
                <w:rFonts w:ascii="Arial" w:hAnsi="Arial" w:cs="Arial"/>
              </w:rPr>
            </w:pPr>
            <w:r w:rsidRPr="00800F16">
              <w:rPr>
                <w:rFonts w:ascii="Arial" w:hAnsi="Arial" w:cs="Arial"/>
              </w:rPr>
              <w:t>Projects tha</w:t>
            </w:r>
            <w:r w:rsidR="00800F16" w:rsidRPr="00800F16">
              <w:rPr>
                <w:rFonts w:ascii="Arial" w:hAnsi="Arial" w:cs="Arial"/>
              </w:rPr>
              <w:t>t support utilities or other critical facilities adapt to future conditions and reduce risks.</w:t>
            </w:r>
          </w:p>
        </w:tc>
      </w:tr>
      <w:tr w:rsidR="00C87E47" w14:paraId="59847CED" w14:textId="77777777" w:rsidTr="00F04D04">
        <w:tc>
          <w:tcPr>
            <w:tcW w:w="360" w:type="pct"/>
            <w:vAlign w:val="center"/>
          </w:tcPr>
          <w:p w14:paraId="5437EA2D" w14:textId="33DB45FA" w:rsidR="00C87E47" w:rsidRDefault="00800F16" w:rsidP="00800F16">
            <w:pPr>
              <w:jc w:val="right"/>
              <w:rPr>
                <w:rFonts w:ascii="Arial" w:hAnsi="Arial" w:cs="Arial"/>
              </w:rPr>
            </w:pPr>
            <w:r>
              <w:rPr>
                <w:rFonts w:ascii="Arial" w:hAnsi="Arial" w:cs="Arial"/>
              </w:rPr>
              <w:t>4</w:t>
            </w:r>
            <w:r w:rsidRPr="00800F16">
              <w:rPr>
                <w:rFonts w:ascii="Arial" w:hAnsi="Arial" w:cs="Arial"/>
              </w:rPr>
              <w:t>.</w:t>
            </w:r>
            <w:r>
              <w:rPr>
                <w:rFonts w:ascii="Arial" w:hAnsi="Arial" w:cs="Arial"/>
              </w:rPr>
              <w:t>3</w:t>
            </w:r>
          </w:p>
        </w:tc>
        <w:tc>
          <w:tcPr>
            <w:tcW w:w="4640" w:type="pct"/>
          </w:tcPr>
          <w:p w14:paraId="001FA834" w14:textId="4D9AAC59" w:rsidR="00C87E47" w:rsidRPr="00800F16" w:rsidRDefault="00800F16" w:rsidP="00800F16">
            <w:pPr>
              <w:ind w:left="700"/>
              <w:rPr>
                <w:rFonts w:ascii="Arial" w:hAnsi="Arial" w:cs="Arial"/>
              </w:rPr>
            </w:pPr>
            <w:r w:rsidRPr="00800F16">
              <w:rPr>
                <w:rFonts w:ascii="Arial" w:hAnsi="Arial" w:cs="Arial"/>
              </w:rPr>
              <w:t>Projects that protect and/or mitigate risk to repetitive loss structures</w:t>
            </w:r>
          </w:p>
        </w:tc>
      </w:tr>
    </w:tbl>
    <w:p w14:paraId="64C33204" w14:textId="08D3954F" w:rsidR="00C870F5" w:rsidRDefault="00C870F5" w:rsidP="003543DD">
      <w:pPr>
        <w:spacing w:before="120" w:after="120" w:line="240" w:lineRule="auto"/>
        <w:jc w:val="both"/>
        <w:rPr>
          <w:rFonts w:ascii="Arial" w:hAnsi="Arial" w:cs="Arial"/>
          <w:b/>
          <w:bCs/>
        </w:rPr>
      </w:pPr>
    </w:p>
    <w:p w14:paraId="3813BF2E" w14:textId="77777777" w:rsidR="00ED689B" w:rsidRDefault="00ED689B" w:rsidP="003543DD">
      <w:pPr>
        <w:spacing w:before="120" w:after="120" w:line="240" w:lineRule="auto"/>
        <w:jc w:val="both"/>
        <w:rPr>
          <w:rFonts w:ascii="Arial" w:hAnsi="Arial" w:cs="Arial"/>
          <w:b/>
          <w:bCs/>
        </w:rPr>
      </w:pPr>
    </w:p>
    <w:p w14:paraId="6548D3F2" w14:textId="79484670" w:rsidR="003543DD" w:rsidRDefault="00582206" w:rsidP="003543DD">
      <w:pPr>
        <w:spacing w:before="120" w:after="120" w:line="240" w:lineRule="auto"/>
        <w:jc w:val="both"/>
        <w:rPr>
          <w:rFonts w:ascii="Arial" w:hAnsi="Arial" w:cs="Arial"/>
          <w:b/>
          <w:bCs/>
        </w:rPr>
      </w:pPr>
      <w:r w:rsidRPr="003543DD">
        <w:rPr>
          <w:rFonts w:ascii="Arial" w:hAnsi="Arial" w:cs="Arial"/>
          <w:b/>
          <w:bCs/>
        </w:rPr>
        <w:lastRenderedPageBreak/>
        <w:t xml:space="preserve">Justice40 Initiative: </w:t>
      </w:r>
    </w:p>
    <w:p w14:paraId="585406AD" w14:textId="45F1B8BC" w:rsidR="00582206" w:rsidRPr="003543DD" w:rsidRDefault="00582206" w:rsidP="003543DD">
      <w:pPr>
        <w:spacing w:before="120" w:after="120" w:line="240" w:lineRule="auto"/>
        <w:jc w:val="both"/>
        <w:rPr>
          <w:rFonts w:ascii="Arial" w:hAnsi="Arial" w:cs="Arial"/>
        </w:rPr>
      </w:pPr>
      <w:r w:rsidRPr="003543DD">
        <w:rPr>
          <w:rFonts w:ascii="Arial" w:hAnsi="Arial" w:cs="Arial"/>
        </w:rPr>
        <w:t xml:space="preserve">In accordance with the guiding principle of promoting equity and in implementing the Justice40 Initiative, the HMGP program is prioritizing assistance that benefits disadvantaged communities as referenced in Presidential Executive Order 14008.  A disadvantaged community may be characterized by variables including, but not limited to: Low income; high and/or persistent poverty; high unemployment and underemployment; racial and ethnic segregation, particularly where the segregation stems from discrimination by government entities; linguistic isolation; high housing cost burden and substandard housing; distressed neighborhoods; high transportation cost burden and/or low transportation access; disproportionate environmental stressor burden and high cumulative impacts; limited water and sanitation access and affordability; disproportionate impacts from climate; high energy cost burden and low energy access; jobs lost through the energy transition; access to health care; and all geographic areas within Tribal jurisdictions.  </w:t>
      </w:r>
    </w:p>
    <w:p w14:paraId="3C741584" w14:textId="0283E5A8" w:rsidR="00335BB2" w:rsidRPr="003543DD" w:rsidRDefault="00582206" w:rsidP="003543DD">
      <w:pPr>
        <w:spacing w:after="240" w:line="240" w:lineRule="auto"/>
        <w:jc w:val="both"/>
        <w:rPr>
          <w:rFonts w:ascii="Arial" w:hAnsi="Arial" w:cs="Arial"/>
        </w:rPr>
      </w:pPr>
      <w:r w:rsidRPr="00D37D94">
        <w:rPr>
          <w:rFonts w:ascii="Arial" w:hAnsi="Arial" w:cs="Arial"/>
          <w:szCs w:val="26"/>
        </w:rPr>
        <w:t xml:space="preserve">As a result of New York </w:t>
      </w:r>
      <w:r w:rsidR="005C6CC6">
        <w:rPr>
          <w:rFonts w:ascii="Arial" w:hAnsi="Arial" w:cs="Arial"/>
          <w:szCs w:val="26"/>
        </w:rPr>
        <w:t xml:space="preserve">State </w:t>
      </w:r>
      <w:r w:rsidRPr="00D37D94">
        <w:rPr>
          <w:rFonts w:ascii="Arial" w:hAnsi="Arial" w:cs="Arial"/>
          <w:szCs w:val="26"/>
        </w:rPr>
        <w:t xml:space="preserve">support of the federal Justice40 Initiative, </w:t>
      </w:r>
      <w:r w:rsidR="005C6CC6">
        <w:rPr>
          <w:rFonts w:ascii="Arial" w:hAnsi="Arial" w:cs="Arial"/>
          <w:szCs w:val="26"/>
        </w:rPr>
        <w:t>DHSES is</w:t>
      </w:r>
      <w:r w:rsidRPr="00D37D94">
        <w:rPr>
          <w:rFonts w:ascii="Arial" w:hAnsi="Arial" w:cs="Arial"/>
          <w:szCs w:val="26"/>
        </w:rPr>
        <w:t xml:space="preserve"> prioritizing projects that benefit the highest-risk communities and underserved populations within the State. Subapplicants </w:t>
      </w:r>
      <w:r w:rsidR="00F21B49">
        <w:rPr>
          <w:rFonts w:ascii="Arial" w:hAnsi="Arial" w:cs="Arial"/>
          <w:szCs w:val="26"/>
        </w:rPr>
        <w:t xml:space="preserve">are encouraged to </w:t>
      </w:r>
      <w:r w:rsidR="00372BC2">
        <w:rPr>
          <w:rFonts w:ascii="Arial" w:hAnsi="Arial" w:cs="Arial"/>
          <w:szCs w:val="26"/>
        </w:rPr>
        <w:t xml:space="preserve">make </w:t>
      </w:r>
      <w:r w:rsidR="00372BC2" w:rsidRPr="003543DD">
        <w:rPr>
          <w:rFonts w:ascii="Arial" w:hAnsi="Arial" w:cs="Arial"/>
        </w:rPr>
        <w:t>their case</w:t>
      </w:r>
      <w:r w:rsidR="00F21B49" w:rsidRPr="003543DD">
        <w:rPr>
          <w:rFonts w:ascii="Arial" w:hAnsi="Arial" w:cs="Arial"/>
        </w:rPr>
        <w:t xml:space="preserve"> that a proposed project </w:t>
      </w:r>
      <w:r w:rsidR="002D44A5" w:rsidRPr="003543DD">
        <w:rPr>
          <w:rFonts w:ascii="Arial" w:hAnsi="Arial" w:cs="Arial"/>
        </w:rPr>
        <w:t>benefits</w:t>
      </w:r>
      <w:r w:rsidR="00F21B49" w:rsidRPr="003543DD">
        <w:rPr>
          <w:rFonts w:ascii="Arial" w:hAnsi="Arial" w:cs="Arial"/>
        </w:rPr>
        <w:t xml:space="preserve"> disadvantaged communities</w:t>
      </w:r>
      <w:r w:rsidR="002D44A5" w:rsidRPr="003543DD">
        <w:rPr>
          <w:rFonts w:ascii="Arial" w:hAnsi="Arial" w:cs="Arial"/>
        </w:rPr>
        <w:t xml:space="preserve"> </w:t>
      </w:r>
      <w:r w:rsidR="00372BC2" w:rsidRPr="003543DD">
        <w:rPr>
          <w:rFonts w:ascii="Arial" w:hAnsi="Arial" w:cs="Arial"/>
        </w:rPr>
        <w:t>(</w:t>
      </w:r>
      <w:r w:rsidR="002D44A5" w:rsidRPr="003543DD">
        <w:rPr>
          <w:rFonts w:ascii="Arial" w:hAnsi="Arial" w:cs="Arial"/>
        </w:rPr>
        <w:t>as outlined</w:t>
      </w:r>
      <w:r w:rsidR="00372BC2" w:rsidRPr="003543DD">
        <w:rPr>
          <w:rFonts w:ascii="Arial" w:hAnsi="Arial" w:cs="Arial"/>
        </w:rPr>
        <w:t xml:space="preserve"> in the paragraph</w:t>
      </w:r>
      <w:r w:rsidR="002D44A5" w:rsidRPr="003543DD">
        <w:rPr>
          <w:rFonts w:ascii="Arial" w:hAnsi="Arial" w:cs="Arial"/>
        </w:rPr>
        <w:t xml:space="preserve"> above</w:t>
      </w:r>
      <w:r w:rsidR="00372BC2" w:rsidRPr="003543DD">
        <w:rPr>
          <w:rFonts w:ascii="Arial" w:hAnsi="Arial" w:cs="Arial"/>
        </w:rPr>
        <w:t>)</w:t>
      </w:r>
      <w:r w:rsidR="00F21B49" w:rsidRPr="003543DD">
        <w:rPr>
          <w:rFonts w:ascii="Arial" w:hAnsi="Arial" w:cs="Arial"/>
        </w:rPr>
        <w:t xml:space="preserve">.  </w:t>
      </w:r>
      <w:r w:rsidR="005C6CC6" w:rsidRPr="003543DD">
        <w:rPr>
          <w:rFonts w:ascii="Arial" w:hAnsi="Arial" w:cs="Arial"/>
        </w:rPr>
        <w:t>All cases submitted with disadvantaged community identification will</w:t>
      </w:r>
      <w:r w:rsidR="002D44A5" w:rsidRPr="003543DD">
        <w:rPr>
          <w:rFonts w:ascii="Arial" w:hAnsi="Arial" w:cs="Arial"/>
        </w:rPr>
        <w:t xml:space="preserve"> be considered </w:t>
      </w:r>
      <w:r w:rsidR="005C6CC6" w:rsidRPr="003543DD">
        <w:rPr>
          <w:rFonts w:ascii="Arial" w:hAnsi="Arial" w:cs="Arial"/>
        </w:rPr>
        <w:t>when</w:t>
      </w:r>
      <w:r w:rsidR="002D44A5" w:rsidRPr="003543DD">
        <w:rPr>
          <w:rFonts w:ascii="Arial" w:hAnsi="Arial" w:cs="Arial"/>
        </w:rPr>
        <w:t xml:space="preserve"> supported</w:t>
      </w:r>
      <w:r w:rsidR="00F21B49" w:rsidRPr="003543DD">
        <w:rPr>
          <w:rFonts w:ascii="Arial" w:hAnsi="Arial" w:cs="Arial"/>
        </w:rPr>
        <w:t xml:space="preserve"> utilizing predefined datasets</w:t>
      </w:r>
      <w:r w:rsidR="002D44A5" w:rsidRPr="003543DD">
        <w:rPr>
          <w:rFonts w:ascii="Arial" w:hAnsi="Arial" w:cs="Arial"/>
        </w:rPr>
        <w:t xml:space="preserve"> (ex: SVI, ACS, NRI, etc</w:t>
      </w:r>
      <w:r w:rsidR="000207AC" w:rsidRPr="003543DD">
        <w:rPr>
          <w:rFonts w:ascii="Arial" w:hAnsi="Arial" w:cs="Arial"/>
        </w:rPr>
        <w:t>.</w:t>
      </w:r>
      <w:r w:rsidR="002D44A5" w:rsidRPr="003543DD">
        <w:rPr>
          <w:rFonts w:ascii="Arial" w:hAnsi="Arial" w:cs="Arial"/>
        </w:rPr>
        <w:t>)</w:t>
      </w:r>
      <w:r w:rsidR="00F21B49" w:rsidRPr="003543DD">
        <w:rPr>
          <w:rFonts w:ascii="Arial" w:hAnsi="Arial" w:cs="Arial"/>
        </w:rPr>
        <w:t>, supporting documents</w:t>
      </w:r>
      <w:r w:rsidR="002D44A5" w:rsidRPr="003543DD">
        <w:rPr>
          <w:rFonts w:ascii="Arial" w:hAnsi="Arial" w:cs="Arial"/>
        </w:rPr>
        <w:t xml:space="preserve"> (ex: income surveys, local employment statistics, etc</w:t>
      </w:r>
      <w:r w:rsidR="000207AC" w:rsidRPr="003543DD">
        <w:rPr>
          <w:rFonts w:ascii="Arial" w:hAnsi="Arial" w:cs="Arial"/>
        </w:rPr>
        <w:t>.</w:t>
      </w:r>
      <w:r w:rsidR="002D44A5" w:rsidRPr="003543DD">
        <w:rPr>
          <w:rFonts w:ascii="Arial" w:hAnsi="Arial" w:cs="Arial"/>
        </w:rPr>
        <w:t>)</w:t>
      </w:r>
      <w:r w:rsidR="00F21B49" w:rsidRPr="003543DD">
        <w:rPr>
          <w:rFonts w:ascii="Arial" w:hAnsi="Arial" w:cs="Arial"/>
        </w:rPr>
        <w:t xml:space="preserve">, or any </w:t>
      </w:r>
      <w:r w:rsidR="002D44A5" w:rsidRPr="003543DD">
        <w:rPr>
          <w:rFonts w:ascii="Arial" w:hAnsi="Arial" w:cs="Arial"/>
        </w:rPr>
        <w:t xml:space="preserve">reasonable, </w:t>
      </w:r>
      <w:r w:rsidR="005C6CC6" w:rsidRPr="003543DD">
        <w:rPr>
          <w:rFonts w:ascii="Arial" w:hAnsi="Arial" w:cs="Arial"/>
        </w:rPr>
        <w:t>a</w:t>
      </w:r>
      <w:r w:rsidR="002D44A5" w:rsidRPr="003543DD">
        <w:rPr>
          <w:rFonts w:ascii="Arial" w:hAnsi="Arial" w:cs="Arial"/>
        </w:rPr>
        <w:t xml:space="preserve">nd/or verifiable </w:t>
      </w:r>
      <w:r w:rsidRPr="003543DD">
        <w:rPr>
          <w:rFonts w:ascii="Arial" w:hAnsi="Arial" w:cs="Arial"/>
        </w:rPr>
        <w:t xml:space="preserve">measure </w:t>
      </w:r>
      <w:r w:rsidR="00372BC2" w:rsidRPr="003543DD">
        <w:rPr>
          <w:rFonts w:ascii="Arial" w:hAnsi="Arial" w:cs="Arial"/>
        </w:rPr>
        <w:t>are</w:t>
      </w:r>
      <w:r w:rsidRPr="003543DD">
        <w:rPr>
          <w:rFonts w:ascii="Arial" w:hAnsi="Arial" w:cs="Arial"/>
        </w:rPr>
        <w:t xml:space="preserve"> used to support </w:t>
      </w:r>
      <w:r w:rsidR="005C6CC6" w:rsidRPr="003543DD">
        <w:rPr>
          <w:rFonts w:ascii="Arial" w:hAnsi="Arial" w:cs="Arial"/>
        </w:rPr>
        <w:t xml:space="preserve">the </w:t>
      </w:r>
      <w:r w:rsidRPr="003543DD">
        <w:rPr>
          <w:rFonts w:ascii="Arial" w:hAnsi="Arial" w:cs="Arial"/>
        </w:rPr>
        <w:t xml:space="preserve">high-risk </w:t>
      </w:r>
      <w:r w:rsidR="005C6CC6" w:rsidRPr="003543DD">
        <w:rPr>
          <w:rFonts w:ascii="Arial" w:hAnsi="Arial" w:cs="Arial"/>
        </w:rPr>
        <w:t>criteria status determination</w:t>
      </w:r>
      <w:r w:rsidR="005C6CC6" w:rsidRPr="003543DD">
        <w:rPr>
          <w:rFonts w:ascii="Arial" w:hAnsi="Arial" w:cs="Arial"/>
          <w:color w:val="FF0000"/>
        </w:rPr>
        <w:t xml:space="preserve">.  </w:t>
      </w:r>
      <w:r w:rsidR="005C6CC6" w:rsidRPr="003543DD">
        <w:rPr>
          <w:rFonts w:ascii="Arial" w:hAnsi="Arial" w:cs="Arial"/>
        </w:rPr>
        <w:t xml:space="preserve">The final acceptance/approval of any disadvantaged community case will be </w:t>
      </w:r>
      <w:r w:rsidR="007A3D8B" w:rsidRPr="003543DD">
        <w:rPr>
          <w:rFonts w:ascii="Arial" w:hAnsi="Arial" w:cs="Arial"/>
        </w:rPr>
        <w:t>determined</w:t>
      </w:r>
      <w:r w:rsidR="005C6CC6" w:rsidRPr="003543DD">
        <w:rPr>
          <w:rFonts w:ascii="Arial" w:hAnsi="Arial" w:cs="Arial"/>
        </w:rPr>
        <w:t xml:space="preserve"> by FEMA.</w:t>
      </w:r>
    </w:p>
    <w:p w14:paraId="64DCDF9C" w14:textId="1C4A1CA7" w:rsidR="00762B21" w:rsidRDefault="00762B21" w:rsidP="003543DD">
      <w:pPr>
        <w:pStyle w:val="NoSpacing"/>
        <w:jc w:val="both"/>
        <w:rPr>
          <w:rFonts w:ascii="Arial" w:hAnsi="Arial" w:cs="Arial"/>
          <w:b/>
          <w:u w:val="single"/>
        </w:rPr>
      </w:pPr>
      <w:r w:rsidRPr="005B4268">
        <w:rPr>
          <w:rFonts w:ascii="Arial" w:hAnsi="Arial" w:cs="Arial"/>
          <w:b/>
          <w:u w:val="single"/>
        </w:rPr>
        <w:t>State Priorities for Planning Grants</w:t>
      </w:r>
    </w:p>
    <w:p w14:paraId="6239F79A" w14:textId="77777777" w:rsidR="00800F16" w:rsidRPr="005B4268" w:rsidRDefault="00800F16" w:rsidP="003543DD">
      <w:pPr>
        <w:pStyle w:val="NoSpacing"/>
        <w:jc w:val="both"/>
        <w:rPr>
          <w:rFonts w:ascii="Arial" w:hAnsi="Arial" w:cs="Arial"/>
        </w:rPr>
      </w:pPr>
    </w:p>
    <w:p w14:paraId="5332D862" w14:textId="6D6D147B" w:rsidR="003543DD" w:rsidRDefault="003543DD" w:rsidP="003543DD">
      <w:pPr>
        <w:spacing w:after="0"/>
        <w:jc w:val="both"/>
        <w:rPr>
          <w:rFonts w:ascii="Arial" w:hAnsi="Arial" w:cs="Arial"/>
        </w:rPr>
      </w:pPr>
      <w:r>
        <w:rPr>
          <w:rFonts w:ascii="Arial" w:hAnsi="Arial" w:cs="Arial"/>
        </w:rPr>
        <w:t>There are 3 funding opportunities available through this announcement:</w:t>
      </w:r>
    </w:p>
    <w:p w14:paraId="0CB7AA7F" w14:textId="2A4CEBED" w:rsidR="003543DD" w:rsidRDefault="003543DD" w:rsidP="00C12474">
      <w:pPr>
        <w:pStyle w:val="ListParagraph"/>
        <w:numPr>
          <w:ilvl w:val="0"/>
          <w:numId w:val="6"/>
        </w:numPr>
        <w:spacing w:after="0"/>
        <w:jc w:val="both"/>
        <w:rPr>
          <w:rFonts w:ascii="Arial" w:hAnsi="Arial" w:cs="Arial"/>
        </w:rPr>
      </w:pPr>
      <w:r>
        <w:rPr>
          <w:rFonts w:ascii="Arial" w:hAnsi="Arial" w:cs="Arial"/>
        </w:rPr>
        <w:t>County Plan Updates</w:t>
      </w:r>
    </w:p>
    <w:p w14:paraId="64039F30" w14:textId="336ABF05" w:rsidR="003543DD" w:rsidRDefault="003543DD" w:rsidP="00C12474">
      <w:pPr>
        <w:pStyle w:val="ListParagraph"/>
        <w:numPr>
          <w:ilvl w:val="0"/>
          <w:numId w:val="6"/>
        </w:numPr>
        <w:spacing w:after="0"/>
        <w:jc w:val="both"/>
        <w:rPr>
          <w:rFonts w:ascii="Arial" w:hAnsi="Arial" w:cs="Arial"/>
        </w:rPr>
      </w:pPr>
      <w:r>
        <w:rPr>
          <w:rFonts w:ascii="Arial" w:hAnsi="Arial" w:cs="Arial"/>
        </w:rPr>
        <w:t>County Plan Enhancements</w:t>
      </w:r>
    </w:p>
    <w:p w14:paraId="212F03B3" w14:textId="07992735" w:rsidR="003543DD" w:rsidRDefault="003543DD" w:rsidP="00C12474">
      <w:pPr>
        <w:pStyle w:val="ListParagraph"/>
        <w:numPr>
          <w:ilvl w:val="0"/>
          <w:numId w:val="6"/>
        </w:numPr>
        <w:spacing w:after="0"/>
        <w:jc w:val="both"/>
        <w:rPr>
          <w:rFonts w:ascii="Arial" w:hAnsi="Arial" w:cs="Arial"/>
        </w:rPr>
      </w:pPr>
      <w:r>
        <w:rPr>
          <w:rFonts w:ascii="Arial" w:hAnsi="Arial" w:cs="Arial"/>
        </w:rPr>
        <w:t xml:space="preserve">Planning Related Activities </w:t>
      </w:r>
    </w:p>
    <w:p w14:paraId="1981DF9E" w14:textId="77777777" w:rsidR="003543DD" w:rsidRPr="003543DD" w:rsidRDefault="003543DD" w:rsidP="003543DD">
      <w:pPr>
        <w:pStyle w:val="ListParagraph"/>
        <w:spacing w:after="0"/>
        <w:jc w:val="both"/>
        <w:rPr>
          <w:rFonts w:ascii="Arial" w:hAnsi="Arial" w:cs="Arial"/>
        </w:rPr>
      </w:pPr>
    </w:p>
    <w:p w14:paraId="11A944CC" w14:textId="2919E3CA" w:rsidR="001B3735" w:rsidRDefault="001B3735" w:rsidP="003543DD">
      <w:pPr>
        <w:spacing w:after="0"/>
        <w:jc w:val="both"/>
        <w:rPr>
          <w:rFonts w:ascii="Arial" w:hAnsi="Arial" w:cs="Arial"/>
          <w:b/>
          <w:bCs/>
        </w:rPr>
      </w:pPr>
      <w:r w:rsidRPr="009D10A0">
        <w:rPr>
          <w:rFonts w:ascii="Arial" w:hAnsi="Arial" w:cs="Arial"/>
          <w:b/>
          <w:bCs/>
        </w:rPr>
        <w:t xml:space="preserve">County Plan Updates: </w:t>
      </w:r>
    </w:p>
    <w:p w14:paraId="6144825D" w14:textId="77777777" w:rsidR="00800F16" w:rsidRPr="009D10A0" w:rsidRDefault="00800F16" w:rsidP="003543DD">
      <w:pPr>
        <w:spacing w:after="0"/>
        <w:jc w:val="both"/>
        <w:rPr>
          <w:rFonts w:ascii="Arial" w:hAnsi="Arial" w:cs="Arial"/>
          <w:b/>
          <w:bCs/>
        </w:rPr>
      </w:pPr>
    </w:p>
    <w:p w14:paraId="2BD78A57" w14:textId="77777777" w:rsidR="00800F16" w:rsidRPr="002631CC" w:rsidRDefault="00800F16" w:rsidP="00800F16">
      <w:pPr>
        <w:spacing w:after="0"/>
        <w:jc w:val="both"/>
        <w:rPr>
          <w:rFonts w:ascii="Arial" w:hAnsi="Arial" w:cs="Arial"/>
        </w:rPr>
      </w:pPr>
      <w:r>
        <w:rPr>
          <w:rFonts w:ascii="Arial" w:hAnsi="Arial" w:cs="Arial"/>
        </w:rPr>
        <w:t>Subapplications for formal Hazard Mitigation planning and plan updates will be prioritized before planning related activities under this funding announcement.</w:t>
      </w:r>
    </w:p>
    <w:p w14:paraId="19535025" w14:textId="77777777" w:rsidR="00800F16" w:rsidRDefault="00800F16" w:rsidP="00800F16">
      <w:pPr>
        <w:spacing w:after="0"/>
        <w:jc w:val="both"/>
        <w:rPr>
          <w:rFonts w:ascii="Arial" w:hAnsi="Arial" w:cs="Arial"/>
        </w:rPr>
      </w:pPr>
    </w:p>
    <w:p w14:paraId="7BA01480" w14:textId="4C3E9E7F" w:rsidR="00762B21" w:rsidRPr="005B4268" w:rsidRDefault="009732AB" w:rsidP="00800F16">
      <w:pPr>
        <w:spacing w:after="0"/>
        <w:jc w:val="both"/>
        <w:rPr>
          <w:rFonts w:ascii="Arial" w:hAnsi="Arial" w:cs="Arial"/>
        </w:rPr>
      </w:pPr>
      <w:r>
        <w:rPr>
          <w:rFonts w:ascii="Arial" w:hAnsi="Arial" w:cs="Arial"/>
        </w:rPr>
        <w:t>P</w:t>
      </w:r>
      <w:r w:rsidR="00762B21" w:rsidRPr="005B4268">
        <w:rPr>
          <w:rFonts w:ascii="Arial" w:hAnsi="Arial" w:cs="Arial"/>
        </w:rPr>
        <w:t xml:space="preserve">reference </w:t>
      </w:r>
      <w:r>
        <w:rPr>
          <w:rFonts w:ascii="Arial" w:hAnsi="Arial" w:cs="Arial"/>
        </w:rPr>
        <w:t xml:space="preserve">for </w:t>
      </w:r>
      <w:r w:rsidR="00141B6E">
        <w:rPr>
          <w:rFonts w:ascii="Arial" w:hAnsi="Arial" w:cs="Arial"/>
        </w:rPr>
        <w:t xml:space="preserve">formal </w:t>
      </w:r>
      <w:r w:rsidR="0003128C">
        <w:rPr>
          <w:rFonts w:ascii="Arial" w:hAnsi="Arial" w:cs="Arial"/>
        </w:rPr>
        <w:t xml:space="preserve">hazard mitigation planning and </w:t>
      </w:r>
      <w:r>
        <w:rPr>
          <w:rFonts w:ascii="Arial" w:hAnsi="Arial" w:cs="Arial"/>
        </w:rPr>
        <w:t xml:space="preserve">plan updates will </w:t>
      </w:r>
      <w:r w:rsidR="0003128C">
        <w:rPr>
          <w:rFonts w:ascii="Arial" w:hAnsi="Arial" w:cs="Arial"/>
        </w:rPr>
        <w:t xml:space="preserve">be prioritized for counties </w:t>
      </w:r>
      <w:r w:rsidR="00762B21" w:rsidRPr="005B4268">
        <w:rPr>
          <w:rFonts w:ascii="Arial" w:hAnsi="Arial" w:cs="Arial"/>
        </w:rPr>
        <w:t>that:</w:t>
      </w:r>
    </w:p>
    <w:p w14:paraId="473F612B" w14:textId="7A1D3910" w:rsidR="00762B21" w:rsidRPr="005B4268" w:rsidRDefault="00762B21" w:rsidP="00C12474">
      <w:pPr>
        <w:pStyle w:val="ListParagraph"/>
        <w:numPr>
          <w:ilvl w:val="0"/>
          <w:numId w:val="5"/>
        </w:numPr>
        <w:spacing w:after="0" w:line="240" w:lineRule="auto"/>
        <w:ind w:left="360" w:firstLine="0"/>
        <w:jc w:val="both"/>
        <w:rPr>
          <w:rFonts w:ascii="Arial" w:hAnsi="Arial" w:cs="Arial"/>
        </w:rPr>
      </w:pPr>
      <w:r w:rsidRPr="005B4268">
        <w:rPr>
          <w:rFonts w:ascii="Arial" w:hAnsi="Arial" w:cs="Arial"/>
        </w:rPr>
        <w:t>Do not have a current, FEMA approved Hazard Mitigation Plan</w:t>
      </w:r>
      <w:r w:rsidR="00D60E1D">
        <w:rPr>
          <w:rFonts w:ascii="Arial" w:hAnsi="Arial" w:cs="Arial"/>
        </w:rPr>
        <w:t>.</w:t>
      </w:r>
    </w:p>
    <w:p w14:paraId="2D7653AC" w14:textId="77777777" w:rsidR="00C87E47" w:rsidRPr="00C87E47" w:rsidRDefault="00C87E47" w:rsidP="00C12474">
      <w:pPr>
        <w:pStyle w:val="ListParagraph"/>
        <w:numPr>
          <w:ilvl w:val="0"/>
          <w:numId w:val="5"/>
        </w:numPr>
        <w:spacing w:after="0"/>
        <w:ind w:left="360" w:firstLine="0"/>
        <w:contextualSpacing w:val="0"/>
        <w:jc w:val="both"/>
        <w:rPr>
          <w:rFonts w:ascii="Arial" w:hAnsi="Arial" w:cs="Arial"/>
        </w:rPr>
      </w:pPr>
      <w:r w:rsidRPr="00C87E47">
        <w:rPr>
          <w:rFonts w:ascii="Arial" w:hAnsi="Arial" w:cs="Arial"/>
        </w:rPr>
        <w:t>Have existing plans that expire prior to the plans of other subapplicants.</w:t>
      </w:r>
    </w:p>
    <w:p w14:paraId="657F9366" w14:textId="2161F4A8" w:rsidR="00762B21" w:rsidRPr="005B4268" w:rsidRDefault="00762B21" w:rsidP="00C12474">
      <w:pPr>
        <w:pStyle w:val="ListParagraph"/>
        <w:numPr>
          <w:ilvl w:val="0"/>
          <w:numId w:val="5"/>
        </w:numPr>
        <w:spacing w:after="0" w:line="240" w:lineRule="auto"/>
        <w:ind w:left="360" w:firstLine="0"/>
        <w:contextualSpacing w:val="0"/>
        <w:jc w:val="both"/>
        <w:rPr>
          <w:rFonts w:ascii="Arial" w:hAnsi="Arial" w:cs="Arial"/>
        </w:rPr>
      </w:pPr>
      <w:r w:rsidRPr="005B4268">
        <w:rPr>
          <w:rFonts w:ascii="Arial" w:hAnsi="Arial" w:cs="Arial"/>
        </w:rPr>
        <w:t>Do not have secured grant funding in place for development of a Hazard Mitigation Plan</w:t>
      </w:r>
      <w:r w:rsidR="00D60E1D">
        <w:rPr>
          <w:rFonts w:ascii="Arial" w:hAnsi="Arial" w:cs="Arial"/>
        </w:rPr>
        <w:t>.</w:t>
      </w:r>
    </w:p>
    <w:p w14:paraId="6A4695A8" w14:textId="5FE3A755" w:rsidR="00762B21" w:rsidRPr="00D60E1D" w:rsidRDefault="00762B21" w:rsidP="00C12474">
      <w:pPr>
        <w:pStyle w:val="ListParagraph"/>
        <w:numPr>
          <w:ilvl w:val="0"/>
          <w:numId w:val="5"/>
        </w:numPr>
        <w:spacing w:after="120" w:line="240" w:lineRule="auto"/>
        <w:ind w:left="360" w:firstLine="0"/>
        <w:contextualSpacing w:val="0"/>
        <w:jc w:val="both"/>
        <w:rPr>
          <w:rFonts w:ascii="Arial" w:hAnsi="Arial" w:cs="Arial"/>
        </w:rPr>
      </w:pPr>
      <w:r w:rsidRPr="00D60E1D">
        <w:rPr>
          <w:rFonts w:ascii="Arial" w:hAnsi="Arial" w:cs="Arial"/>
        </w:rPr>
        <w:t>Do not have anticipated funding in place for development of a Hazard Mitigation Plan</w:t>
      </w:r>
      <w:r w:rsidR="00D60E1D" w:rsidRPr="00D60E1D">
        <w:rPr>
          <w:rFonts w:ascii="Arial" w:hAnsi="Arial" w:cs="Arial"/>
        </w:rPr>
        <w:t>.</w:t>
      </w:r>
    </w:p>
    <w:p w14:paraId="57EBC661" w14:textId="77777777" w:rsidR="00A247DD" w:rsidRPr="002631CC" w:rsidRDefault="00A247DD" w:rsidP="003543DD">
      <w:pPr>
        <w:pStyle w:val="NoSpacing"/>
        <w:jc w:val="both"/>
        <w:rPr>
          <w:sz w:val="16"/>
          <w:szCs w:val="16"/>
        </w:rPr>
      </w:pPr>
    </w:p>
    <w:p w14:paraId="400B3929" w14:textId="285ECD03" w:rsidR="00EB6FB8" w:rsidRDefault="00762B21" w:rsidP="003543DD">
      <w:pPr>
        <w:spacing w:after="120" w:line="240" w:lineRule="auto"/>
        <w:jc w:val="both"/>
        <w:rPr>
          <w:rFonts w:ascii="Arial" w:hAnsi="Arial" w:cs="Arial"/>
        </w:rPr>
      </w:pPr>
      <w:r w:rsidRPr="00D60E1D">
        <w:rPr>
          <w:rFonts w:ascii="Arial" w:hAnsi="Arial" w:cs="Arial"/>
        </w:rPr>
        <w:t xml:space="preserve">Funding </w:t>
      </w:r>
      <w:r w:rsidR="00207227" w:rsidRPr="00D60E1D">
        <w:rPr>
          <w:rFonts w:ascii="Arial" w:hAnsi="Arial" w:cs="Arial"/>
        </w:rPr>
        <w:t>may be prorated based on available funds</w:t>
      </w:r>
      <w:r w:rsidR="00EB6FB8" w:rsidRPr="00D60E1D">
        <w:rPr>
          <w:rFonts w:ascii="Arial" w:hAnsi="Arial" w:cs="Arial"/>
        </w:rPr>
        <w:t xml:space="preserve">; however, </w:t>
      </w:r>
      <w:r w:rsidR="005135C8" w:rsidRPr="00D60E1D">
        <w:rPr>
          <w:rFonts w:ascii="Arial" w:hAnsi="Arial" w:cs="Arial"/>
        </w:rPr>
        <w:t>total</w:t>
      </w:r>
      <w:r w:rsidR="005135C8">
        <w:rPr>
          <w:rFonts w:ascii="Arial" w:hAnsi="Arial" w:cs="Arial"/>
        </w:rPr>
        <w:t xml:space="preserve"> dollars requested may not exceed HMGP </w:t>
      </w:r>
      <w:r w:rsidR="007061D2">
        <w:rPr>
          <w:rFonts w:ascii="Arial" w:hAnsi="Arial" w:cs="Arial"/>
        </w:rPr>
        <w:t xml:space="preserve">established </w:t>
      </w:r>
      <w:r w:rsidR="005135C8">
        <w:rPr>
          <w:rFonts w:ascii="Arial" w:hAnsi="Arial" w:cs="Arial"/>
        </w:rPr>
        <w:t xml:space="preserve">planning </w:t>
      </w:r>
      <w:r w:rsidR="007E64CE">
        <w:rPr>
          <w:rFonts w:ascii="Arial" w:hAnsi="Arial" w:cs="Arial"/>
        </w:rPr>
        <w:t xml:space="preserve">limits </w:t>
      </w:r>
      <w:r w:rsidR="00EB6FB8" w:rsidRPr="00EB6FB8">
        <w:rPr>
          <w:rFonts w:ascii="Arial" w:hAnsi="Arial" w:cs="Arial"/>
        </w:rPr>
        <w:t>based on county population as follows:</w:t>
      </w:r>
    </w:p>
    <w:p w14:paraId="43E764FD" w14:textId="352558BD" w:rsidR="00EB6FB8" w:rsidRPr="000565A2" w:rsidRDefault="00EB6FB8" w:rsidP="003543DD">
      <w:pPr>
        <w:pStyle w:val="NoSpacing"/>
        <w:ind w:left="288" w:firstLine="432"/>
        <w:rPr>
          <w:rStyle w:val="Hyperlink"/>
          <w:rFonts w:ascii="Arial" w:hAnsi="Arial" w:cs="Arial"/>
          <w:color w:val="auto"/>
        </w:rPr>
      </w:pPr>
      <w:r w:rsidRPr="000565A2">
        <w:rPr>
          <w:rStyle w:val="Hyperlink"/>
          <w:rFonts w:ascii="Arial" w:hAnsi="Arial" w:cs="Arial"/>
          <w:color w:val="auto"/>
        </w:rPr>
        <w:t>Population</w:t>
      </w:r>
      <w:r w:rsidRPr="000565A2">
        <w:rPr>
          <w:rStyle w:val="Hyperlink"/>
          <w:rFonts w:ascii="Arial" w:hAnsi="Arial" w:cs="Arial"/>
          <w:color w:val="auto"/>
        </w:rPr>
        <w:tab/>
      </w:r>
      <w:r w:rsidRPr="000565A2">
        <w:rPr>
          <w:rStyle w:val="Hyperlink"/>
          <w:rFonts w:ascii="Arial" w:hAnsi="Arial" w:cs="Arial"/>
          <w:color w:val="auto"/>
        </w:rPr>
        <w:tab/>
      </w:r>
      <w:r w:rsidRPr="000565A2">
        <w:rPr>
          <w:rStyle w:val="Hyperlink"/>
          <w:rFonts w:ascii="Arial" w:hAnsi="Arial" w:cs="Arial"/>
          <w:color w:val="auto"/>
        </w:rPr>
        <w:tab/>
      </w:r>
      <w:r w:rsidR="005135C8">
        <w:rPr>
          <w:rStyle w:val="Hyperlink"/>
          <w:rFonts w:ascii="Arial" w:hAnsi="Arial" w:cs="Arial"/>
          <w:color w:val="auto"/>
        </w:rPr>
        <w:tab/>
      </w:r>
      <w:r>
        <w:rPr>
          <w:rStyle w:val="Hyperlink"/>
          <w:rFonts w:ascii="Arial" w:hAnsi="Arial" w:cs="Arial"/>
          <w:color w:val="auto"/>
        </w:rPr>
        <w:t>Cap</w:t>
      </w:r>
      <w:r w:rsidR="005135C8">
        <w:rPr>
          <w:rStyle w:val="Hyperlink"/>
          <w:rFonts w:ascii="Arial" w:hAnsi="Arial" w:cs="Arial"/>
          <w:color w:val="auto"/>
        </w:rPr>
        <w:t>:</w:t>
      </w:r>
      <w:r w:rsidR="005135C8">
        <w:rPr>
          <w:rStyle w:val="Hyperlink"/>
          <w:rFonts w:ascii="Arial" w:hAnsi="Arial" w:cs="Arial"/>
          <w:color w:val="auto"/>
        </w:rPr>
        <w:tab/>
        <w:t>Total Cost</w:t>
      </w:r>
      <w:r w:rsidR="005135C8">
        <w:rPr>
          <w:rStyle w:val="Hyperlink"/>
          <w:rFonts w:ascii="Arial" w:hAnsi="Arial" w:cs="Arial"/>
          <w:color w:val="auto"/>
        </w:rPr>
        <w:tab/>
        <w:t>Federal Share</w:t>
      </w:r>
      <w:r w:rsidRPr="00F96432">
        <w:rPr>
          <w:rStyle w:val="Hyperlink"/>
          <w:rFonts w:ascii="Arial" w:hAnsi="Arial" w:cs="Arial"/>
          <w:color w:val="auto"/>
        </w:rPr>
        <w:t xml:space="preserve">       </w:t>
      </w:r>
    </w:p>
    <w:p w14:paraId="1F1A1E7F" w14:textId="2D66B07C" w:rsidR="00EB6FB8" w:rsidRPr="000565A2" w:rsidRDefault="00EB6FB8" w:rsidP="00DA0B18">
      <w:pPr>
        <w:pStyle w:val="NoSpacing"/>
        <w:ind w:left="288"/>
        <w:rPr>
          <w:rStyle w:val="Hyperlink"/>
          <w:rFonts w:ascii="Arial" w:hAnsi="Arial" w:cs="Arial"/>
          <w:color w:val="auto"/>
          <w:u w:val="none"/>
        </w:rPr>
      </w:pPr>
      <w:r w:rsidRPr="000565A2">
        <w:rPr>
          <w:rStyle w:val="Hyperlink"/>
          <w:rFonts w:ascii="Arial" w:hAnsi="Arial" w:cs="Arial"/>
          <w:color w:val="auto"/>
          <w:u w:val="none"/>
        </w:rPr>
        <w:tab/>
        <w:t>up to 100,000 residents</w:t>
      </w:r>
      <w:r w:rsidRPr="000565A2">
        <w:rPr>
          <w:rFonts w:ascii="Arial" w:hAnsi="Arial" w:cs="Arial"/>
        </w:rPr>
        <w:t xml:space="preserve"> </w:t>
      </w:r>
      <w:r w:rsidRPr="000565A2">
        <w:rPr>
          <w:rFonts w:ascii="Arial" w:hAnsi="Arial" w:cs="Arial"/>
        </w:rPr>
        <w:tab/>
      </w:r>
      <w:r w:rsidRPr="000565A2">
        <w:rPr>
          <w:rFonts w:ascii="Arial" w:hAnsi="Arial" w:cs="Arial"/>
        </w:rPr>
        <w:tab/>
      </w:r>
      <w:r w:rsidR="005135C8">
        <w:rPr>
          <w:rFonts w:ascii="Arial" w:hAnsi="Arial" w:cs="Arial"/>
        </w:rPr>
        <w:tab/>
      </w:r>
      <w:r>
        <w:rPr>
          <w:rFonts w:ascii="Arial" w:hAnsi="Arial" w:cs="Arial"/>
        </w:rPr>
        <w:t>$150,000</w:t>
      </w:r>
      <w:r>
        <w:rPr>
          <w:rFonts w:ascii="Arial" w:hAnsi="Arial" w:cs="Arial"/>
        </w:rPr>
        <w:tab/>
      </w:r>
      <w:r w:rsidRPr="000565A2">
        <w:rPr>
          <w:rFonts w:ascii="Arial" w:hAnsi="Arial" w:cs="Arial"/>
        </w:rPr>
        <w:t>$</w:t>
      </w:r>
      <w:r w:rsidR="008414B1">
        <w:rPr>
          <w:rFonts w:ascii="Arial" w:hAnsi="Arial" w:cs="Arial"/>
        </w:rPr>
        <w:t>135,000</w:t>
      </w:r>
      <w:r w:rsidRPr="000565A2">
        <w:rPr>
          <w:rFonts w:ascii="Arial" w:hAnsi="Arial" w:cs="Arial"/>
        </w:rPr>
        <w:tab/>
      </w:r>
    </w:p>
    <w:p w14:paraId="4810A6C8" w14:textId="575B3306" w:rsidR="00EB6FB8" w:rsidRPr="000565A2" w:rsidRDefault="00EB6FB8" w:rsidP="00DA0B18">
      <w:pPr>
        <w:pStyle w:val="NoSpacing"/>
        <w:ind w:left="288"/>
        <w:rPr>
          <w:rStyle w:val="Hyperlink"/>
          <w:rFonts w:ascii="Arial" w:hAnsi="Arial" w:cs="Arial"/>
          <w:color w:val="auto"/>
          <w:u w:val="none"/>
        </w:rPr>
      </w:pPr>
      <w:r w:rsidRPr="000565A2">
        <w:rPr>
          <w:rStyle w:val="Hyperlink"/>
          <w:rFonts w:ascii="Arial" w:hAnsi="Arial" w:cs="Arial"/>
          <w:color w:val="auto"/>
          <w:u w:val="none"/>
        </w:rPr>
        <w:tab/>
        <w:t>up to 500,000 residents</w:t>
      </w:r>
      <w:r w:rsidRPr="000565A2">
        <w:rPr>
          <w:rFonts w:ascii="Arial" w:hAnsi="Arial" w:cs="Arial"/>
        </w:rPr>
        <w:t xml:space="preserve"> </w:t>
      </w:r>
      <w:r w:rsidRPr="000565A2">
        <w:rPr>
          <w:rFonts w:ascii="Arial" w:hAnsi="Arial" w:cs="Arial"/>
        </w:rPr>
        <w:tab/>
      </w:r>
      <w:r w:rsidRPr="000565A2">
        <w:rPr>
          <w:rFonts w:ascii="Arial" w:hAnsi="Arial" w:cs="Arial"/>
        </w:rPr>
        <w:tab/>
      </w:r>
      <w:r w:rsidR="005135C8">
        <w:rPr>
          <w:rFonts w:ascii="Arial" w:hAnsi="Arial" w:cs="Arial"/>
        </w:rPr>
        <w:tab/>
      </w:r>
      <w:r>
        <w:rPr>
          <w:rFonts w:ascii="Arial" w:hAnsi="Arial" w:cs="Arial"/>
        </w:rPr>
        <w:t>$200,000</w:t>
      </w:r>
      <w:r>
        <w:rPr>
          <w:rFonts w:ascii="Arial" w:hAnsi="Arial" w:cs="Arial"/>
        </w:rPr>
        <w:tab/>
      </w:r>
      <w:r w:rsidRPr="000565A2">
        <w:rPr>
          <w:rFonts w:ascii="Arial" w:hAnsi="Arial" w:cs="Arial"/>
        </w:rPr>
        <w:t>$</w:t>
      </w:r>
      <w:r w:rsidR="008414B1">
        <w:rPr>
          <w:rFonts w:ascii="Arial" w:hAnsi="Arial" w:cs="Arial"/>
        </w:rPr>
        <w:t>180,000</w:t>
      </w:r>
      <w:r w:rsidRPr="000565A2">
        <w:rPr>
          <w:rFonts w:ascii="Arial" w:hAnsi="Arial" w:cs="Arial"/>
        </w:rPr>
        <w:tab/>
      </w:r>
    </w:p>
    <w:p w14:paraId="41DB2CC9" w14:textId="073470BA" w:rsidR="00EB6FB8" w:rsidRPr="000565A2" w:rsidRDefault="00EB6FB8" w:rsidP="00DA0B18">
      <w:pPr>
        <w:pStyle w:val="NoSpacing"/>
        <w:ind w:left="288"/>
        <w:rPr>
          <w:rStyle w:val="Hyperlink"/>
          <w:rFonts w:ascii="Arial" w:hAnsi="Arial" w:cs="Arial"/>
          <w:color w:val="auto"/>
          <w:u w:val="none"/>
        </w:rPr>
      </w:pPr>
      <w:r w:rsidRPr="000565A2">
        <w:rPr>
          <w:rStyle w:val="Hyperlink"/>
          <w:rFonts w:ascii="Arial" w:hAnsi="Arial" w:cs="Arial"/>
          <w:color w:val="auto"/>
          <w:u w:val="none"/>
        </w:rPr>
        <w:tab/>
        <w:t xml:space="preserve">up to 1,000,000 residents </w:t>
      </w:r>
      <w:r w:rsidRPr="000565A2">
        <w:rPr>
          <w:rStyle w:val="Hyperlink"/>
          <w:rFonts w:ascii="Arial" w:hAnsi="Arial" w:cs="Arial"/>
          <w:color w:val="auto"/>
          <w:u w:val="none"/>
        </w:rPr>
        <w:tab/>
      </w:r>
      <w:r w:rsidRPr="000565A2">
        <w:rPr>
          <w:rStyle w:val="Hyperlink"/>
          <w:rFonts w:ascii="Arial" w:hAnsi="Arial" w:cs="Arial"/>
          <w:color w:val="auto"/>
          <w:u w:val="none"/>
        </w:rPr>
        <w:tab/>
      </w:r>
      <w:r w:rsidR="005135C8">
        <w:rPr>
          <w:rStyle w:val="Hyperlink"/>
          <w:rFonts w:ascii="Arial" w:hAnsi="Arial" w:cs="Arial"/>
          <w:color w:val="auto"/>
          <w:u w:val="none"/>
        </w:rPr>
        <w:tab/>
      </w:r>
      <w:r>
        <w:rPr>
          <w:rStyle w:val="Hyperlink"/>
          <w:rFonts w:ascii="Arial" w:hAnsi="Arial" w:cs="Arial"/>
          <w:color w:val="auto"/>
          <w:u w:val="none"/>
        </w:rPr>
        <w:t>$250,000</w:t>
      </w:r>
      <w:r>
        <w:rPr>
          <w:rStyle w:val="Hyperlink"/>
          <w:rFonts w:ascii="Arial" w:hAnsi="Arial" w:cs="Arial"/>
          <w:color w:val="auto"/>
          <w:u w:val="none"/>
        </w:rPr>
        <w:tab/>
      </w:r>
      <w:r w:rsidRPr="000565A2">
        <w:rPr>
          <w:rStyle w:val="Hyperlink"/>
          <w:rFonts w:ascii="Arial" w:hAnsi="Arial" w:cs="Arial"/>
          <w:color w:val="auto"/>
          <w:u w:val="none"/>
        </w:rPr>
        <w:t>$</w:t>
      </w:r>
      <w:r w:rsidR="008414B1">
        <w:rPr>
          <w:rStyle w:val="Hyperlink"/>
          <w:rFonts w:ascii="Arial" w:hAnsi="Arial" w:cs="Arial"/>
          <w:color w:val="auto"/>
          <w:u w:val="none"/>
        </w:rPr>
        <w:t>225,000</w:t>
      </w:r>
      <w:r w:rsidRPr="000565A2">
        <w:rPr>
          <w:rStyle w:val="Hyperlink"/>
          <w:rFonts w:ascii="Arial" w:hAnsi="Arial" w:cs="Arial"/>
          <w:color w:val="auto"/>
          <w:u w:val="none"/>
        </w:rPr>
        <w:tab/>
      </w:r>
    </w:p>
    <w:p w14:paraId="51F485AA" w14:textId="10996A24" w:rsidR="00762B21" w:rsidRPr="005B4268" w:rsidRDefault="00EB6FB8" w:rsidP="00DA0B18">
      <w:pPr>
        <w:pStyle w:val="NoSpacing"/>
        <w:ind w:left="288"/>
      </w:pPr>
      <w:r w:rsidRPr="000565A2">
        <w:rPr>
          <w:rStyle w:val="Hyperlink"/>
          <w:rFonts w:ascii="Arial" w:hAnsi="Arial" w:cs="Arial"/>
          <w:color w:val="auto"/>
          <w:u w:val="none"/>
        </w:rPr>
        <w:tab/>
        <w:t>more than 1,000,000 residents</w:t>
      </w:r>
      <w:r w:rsidRPr="000565A2">
        <w:rPr>
          <w:rStyle w:val="Hyperlink"/>
          <w:rFonts w:ascii="Arial" w:hAnsi="Arial" w:cs="Arial"/>
          <w:color w:val="auto"/>
          <w:u w:val="none"/>
        </w:rPr>
        <w:tab/>
      </w:r>
      <w:r w:rsidR="005135C8">
        <w:rPr>
          <w:rStyle w:val="Hyperlink"/>
          <w:rFonts w:ascii="Arial" w:hAnsi="Arial" w:cs="Arial"/>
          <w:color w:val="auto"/>
          <w:u w:val="none"/>
        </w:rPr>
        <w:tab/>
      </w:r>
      <w:r>
        <w:rPr>
          <w:rStyle w:val="Hyperlink"/>
          <w:rFonts w:ascii="Arial" w:hAnsi="Arial" w:cs="Arial"/>
          <w:color w:val="auto"/>
          <w:u w:val="none"/>
        </w:rPr>
        <w:t>$500,000</w:t>
      </w:r>
      <w:r>
        <w:rPr>
          <w:rStyle w:val="Hyperlink"/>
          <w:rFonts w:ascii="Arial" w:hAnsi="Arial" w:cs="Arial"/>
          <w:color w:val="auto"/>
          <w:u w:val="none"/>
        </w:rPr>
        <w:tab/>
      </w:r>
      <w:r w:rsidRPr="000565A2">
        <w:rPr>
          <w:rStyle w:val="Hyperlink"/>
          <w:rFonts w:ascii="Arial" w:hAnsi="Arial" w:cs="Arial"/>
          <w:color w:val="auto"/>
          <w:u w:val="none"/>
        </w:rPr>
        <w:t>$</w:t>
      </w:r>
      <w:r w:rsidR="008414B1">
        <w:rPr>
          <w:rStyle w:val="Hyperlink"/>
          <w:rFonts w:ascii="Arial" w:hAnsi="Arial" w:cs="Arial"/>
          <w:color w:val="auto"/>
          <w:u w:val="none"/>
        </w:rPr>
        <w:t>450,000</w:t>
      </w:r>
      <w:r w:rsidR="00762B21" w:rsidRPr="005B4268">
        <w:t xml:space="preserve"> </w:t>
      </w:r>
    </w:p>
    <w:p w14:paraId="00E4F174" w14:textId="64790C4B" w:rsidR="00800F16" w:rsidRDefault="00800F16" w:rsidP="00800F16">
      <w:pPr>
        <w:pStyle w:val="NoSpacing"/>
        <w:rPr>
          <w:rFonts w:ascii="Arial" w:hAnsi="Arial" w:cs="Arial"/>
          <w:b/>
        </w:rPr>
      </w:pPr>
    </w:p>
    <w:p w14:paraId="12D97928" w14:textId="3C09BA30" w:rsidR="00DA392E" w:rsidRDefault="00DA392E" w:rsidP="00800F16">
      <w:pPr>
        <w:pStyle w:val="NoSpacing"/>
        <w:rPr>
          <w:rFonts w:ascii="Arial" w:hAnsi="Arial" w:cs="Arial"/>
          <w:b/>
        </w:rPr>
      </w:pPr>
    </w:p>
    <w:p w14:paraId="5C38A84A" w14:textId="77777777" w:rsidR="00DA392E" w:rsidRDefault="00DA392E" w:rsidP="00800F16">
      <w:pPr>
        <w:pStyle w:val="NoSpacing"/>
        <w:rPr>
          <w:rFonts w:ascii="Arial" w:hAnsi="Arial" w:cs="Arial"/>
          <w:b/>
        </w:rPr>
      </w:pPr>
    </w:p>
    <w:p w14:paraId="0D3DB351" w14:textId="77777777" w:rsidR="006D7AC4" w:rsidRPr="006D7AC4" w:rsidRDefault="006D7AC4" w:rsidP="003543DD">
      <w:pPr>
        <w:pStyle w:val="NoSpacing"/>
        <w:spacing w:before="120" w:after="120"/>
        <w:jc w:val="both"/>
        <w:rPr>
          <w:rFonts w:ascii="Arial" w:hAnsi="Arial" w:cs="Arial"/>
          <w:b/>
        </w:rPr>
      </w:pPr>
      <w:r w:rsidRPr="006D7AC4">
        <w:rPr>
          <w:rFonts w:ascii="Arial" w:hAnsi="Arial" w:cs="Arial"/>
          <w:b/>
        </w:rPr>
        <w:lastRenderedPageBreak/>
        <w:t xml:space="preserve">County Plan Enhancements: </w:t>
      </w:r>
    </w:p>
    <w:p w14:paraId="7ADD0F78" w14:textId="77777777" w:rsidR="003543DD" w:rsidRDefault="006D7AC4" w:rsidP="003543DD">
      <w:pPr>
        <w:pStyle w:val="NoSpacing"/>
        <w:spacing w:before="120" w:after="120"/>
        <w:jc w:val="both"/>
        <w:rPr>
          <w:rFonts w:ascii="Arial" w:hAnsi="Arial" w:cs="Arial"/>
          <w:bCs/>
        </w:rPr>
      </w:pPr>
      <w:r w:rsidRPr="006D7AC4">
        <w:rPr>
          <w:rFonts w:ascii="Arial" w:hAnsi="Arial" w:cs="Arial"/>
          <w:bCs/>
        </w:rPr>
        <w:t xml:space="preserve">The significant impact of climate change on communities across New York State continues to rise and must be addressed. Additionally, disadvantaged communities and populations tend to be adversely impacted by natural hazards, disasters and public health emergencies. DHSES encourages all counties, those with an approved Hazard Mitigation Plan and those coming due, to take advantage of a unique opportunity to conduct Plan Enhancement activities. This enhanced funding opportunity is intended for applicants choosing to address efforts to combat climate hazard conditions and emergencies, including pandemics, with a priority focus on disadvantaged communities and populations and link planning work directly to identifying risks, response activities and ultimately prioritizing hazard mitigation projects for those disadvantaged communities and populations. </w:t>
      </w:r>
    </w:p>
    <w:p w14:paraId="0510A1BC" w14:textId="77777777" w:rsidR="003543DD" w:rsidRPr="00EA0611" w:rsidRDefault="003543DD" w:rsidP="003543DD">
      <w:pPr>
        <w:pStyle w:val="NoSpacing"/>
        <w:ind w:left="288" w:firstLine="432"/>
        <w:rPr>
          <w:rStyle w:val="Hyperlink"/>
          <w:rFonts w:ascii="Arial" w:hAnsi="Arial" w:cs="Arial"/>
          <w:color w:val="auto"/>
        </w:rPr>
      </w:pPr>
      <w:r w:rsidRPr="000565A2">
        <w:rPr>
          <w:rStyle w:val="Hyperlink"/>
          <w:rFonts w:ascii="Arial" w:hAnsi="Arial" w:cs="Arial"/>
          <w:color w:val="auto"/>
        </w:rPr>
        <w:t>Population</w:t>
      </w:r>
      <w:r w:rsidRPr="000565A2">
        <w:rPr>
          <w:rStyle w:val="Hyperlink"/>
          <w:rFonts w:ascii="Arial" w:hAnsi="Arial" w:cs="Arial"/>
          <w:color w:val="auto"/>
        </w:rPr>
        <w:tab/>
      </w:r>
      <w:r w:rsidRPr="000565A2">
        <w:rPr>
          <w:rStyle w:val="Hyperlink"/>
          <w:rFonts w:ascii="Arial" w:hAnsi="Arial" w:cs="Arial"/>
          <w:color w:val="auto"/>
        </w:rPr>
        <w:tab/>
      </w:r>
      <w:r w:rsidRPr="000565A2">
        <w:rPr>
          <w:rStyle w:val="Hyperlink"/>
          <w:rFonts w:ascii="Arial" w:hAnsi="Arial" w:cs="Arial"/>
          <w:color w:val="auto"/>
        </w:rPr>
        <w:tab/>
      </w:r>
      <w:r>
        <w:rPr>
          <w:rStyle w:val="Hyperlink"/>
          <w:rFonts w:ascii="Arial" w:hAnsi="Arial" w:cs="Arial"/>
          <w:color w:val="auto"/>
        </w:rPr>
        <w:tab/>
        <w:t>Cap:</w:t>
      </w:r>
      <w:r>
        <w:rPr>
          <w:rStyle w:val="Hyperlink"/>
          <w:rFonts w:ascii="Arial" w:hAnsi="Arial" w:cs="Arial"/>
          <w:color w:val="auto"/>
        </w:rPr>
        <w:tab/>
      </w:r>
      <w:r w:rsidRPr="00EA0611">
        <w:rPr>
          <w:rStyle w:val="Hyperlink"/>
          <w:rFonts w:ascii="Arial" w:hAnsi="Arial" w:cs="Arial"/>
          <w:color w:val="auto"/>
        </w:rPr>
        <w:t>Total Cost</w:t>
      </w:r>
      <w:r w:rsidRPr="00EA0611">
        <w:rPr>
          <w:rStyle w:val="Hyperlink"/>
          <w:rFonts w:ascii="Arial" w:hAnsi="Arial" w:cs="Arial"/>
          <w:color w:val="auto"/>
        </w:rPr>
        <w:tab/>
        <w:t xml:space="preserve">Federal Share       </w:t>
      </w:r>
    </w:p>
    <w:p w14:paraId="6A196FA7" w14:textId="79A5BBC5" w:rsidR="003543DD" w:rsidRPr="00EA0611" w:rsidRDefault="003543DD" w:rsidP="003543DD">
      <w:pPr>
        <w:pStyle w:val="NoSpacing"/>
        <w:ind w:left="288"/>
        <w:rPr>
          <w:rStyle w:val="Hyperlink"/>
          <w:rFonts w:ascii="Arial" w:hAnsi="Arial" w:cs="Arial"/>
          <w:color w:val="auto"/>
          <w:u w:val="none"/>
        </w:rPr>
      </w:pPr>
      <w:r w:rsidRPr="00EA0611">
        <w:rPr>
          <w:rStyle w:val="Hyperlink"/>
          <w:rFonts w:ascii="Arial" w:hAnsi="Arial" w:cs="Arial"/>
          <w:color w:val="auto"/>
          <w:u w:val="none"/>
        </w:rPr>
        <w:tab/>
        <w:t>up to 100,000 residents</w:t>
      </w:r>
      <w:r w:rsidRPr="00EA0611">
        <w:rPr>
          <w:rFonts w:ascii="Arial" w:hAnsi="Arial" w:cs="Arial"/>
        </w:rPr>
        <w:t xml:space="preserve"> </w:t>
      </w:r>
      <w:r w:rsidRPr="00EA0611">
        <w:rPr>
          <w:rFonts w:ascii="Arial" w:hAnsi="Arial" w:cs="Arial"/>
        </w:rPr>
        <w:tab/>
      </w:r>
      <w:r w:rsidRPr="00EA0611">
        <w:rPr>
          <w:rFonts w:ascii="Arial" w:hAnsi="Arial" w:cs="Arial"/>
        </w:rPr>
        <w:tab/>
      </w:r>
      <w:r w:rsidRPr="00EA0611">
        <w:rPr>
          <w:rFonts w:ascii="Arial" w:hAnsi="Arial" w:cs="Arial"/>
        </w:rPr>
        <w:tab/>
        <w:t>$50,000</w:t>
      </w:r>
      <w:r w:rsidRPr="00EA0611">
        <w:rPr>
          <w:rFonts w:ascii="Arial" w:hAnsi="Arial" w:cs="Arial"/>
        </w:rPr>
        <w:tab/>
        <w:t>$</w:t>
      </w:r>
      <w:r w:rsidR="008414B1">
        <w:rPr>
          <w:rFonts w:ascii="Arial" w:hAnsi="Arial" w:cs="Arial"/>
        </w:rPr>
        <w:t>45,000</w:t>
      </w:r>
    </w:p>
    <w:p w14:paraId="6CDD4902" w14:textId="06845194" w:rsidR="003543DD" w:rsidRPr="00EA0611" w:rsidRDefault="003543DD" w:rsidP="003543DD">
      <w:pPr>
        <w:pStyle w:val="NoSpacing"/>
        <w:ind w:left="288"/>
        <w:rPr>
          <w:rStyle w:val="Hyperlink"/>
          <w:rFonts w:ascii="Arial" w:hAnsi="Arial" w:cs="Arial"/>
          <w:color w:val="auto"/>
          <w:u w:val="none"/>
        </w:rPr>
      </w:pPr>
      <w:r w:rsidRPr="00EA0611">
        <w:rPr>
          <w:rStyle w:val="Hyperlink"/>
          <w:rFonts w:ascii="Arial" w:hAnsi="Arial" w:cs="Arial"/>
          <w:color w:val="auto"/>
          <w:u w:val="none"/>
        </w:rPr>
        <w:tab/>
        <w:t>up to 500,000 residents</w:t>
      </w:r>
      <w:r w:rsidRPr="00EA0611">
        <w:rPr>
          <w:rFonts w:ascii="Arial" w:hAnsi="Arial" w:cs="Arial"/>
        </w:rPr>
        <w:t xml:space="preserve"> </w:t>
      </w:r>
      <w:r w:rsidRPr="00EA0611">
        <w:rPr>
          <w:rFonts w:ascii="Arial" w:hAnsi="Arial" w:cs="Arial"/>
        </w:rPr>
        <w:tab/>
      </w:r>
      <w:r w:rsidRPr="00EA0611">
        <w:rPr>
          <w:rFonts w:ascii="Arial" w:hAnsi="Arial" w:cs="Arial"/>
        </w:rPr>
        <w:tab/>
      </w:r>
      <w:r w:rsidRPr="00EA0611">
        <w:rPr>
          <w:rFonts w:ascii="Arial" w:hAnsi="Arial" w:cs="Arial"/>
        </w:rPr>
        <w:tab/>
        <w:t>$</w:t>
      </w:r>
      <w:r w:rsidR="008D6664" w:rsidRPr="00EA0611">
        <w:rPr>
          <w:rFonts w:ascii="Arial" w:hAnsi="Arial" w:cs="Arial"/>
        </w:rPr>
        <w:t>7</w:t>
      </w:r>
      <w:r w:rsidRPr="00EA0611">
        <w:rPr>
          <w:rFonts w:ascii="Arial" w:hAnsi="Arial" w:cs="Arial"/>
        </w:rPr>
        <w:t>0,000</w:t>
      </w:r>
      <w:r w:rsidRPr="00EA0611">
        <w:rPr>
          <w:rFonts w:ascii="Arial" w:hAnsi="Arial" w:cs="Arial"/>
        </w:rPr>
        <w:tab/>
        <w:t>$</w:t>
      </w:r>
      <w:r w:rsidR="008414B1">
        <w:rPr>
          <w:rFonts w:ascii="Arial" w:hAnsi="Arial" w:cs="Arial"/>
        </w:rPr>
        <w:t>63,000</w:t>
      </w:r>
      <w:r w:rsidRPr="00EA0611">
        <w:rPr>
          <w:rFonts w:ascii="Arial" w:hAnsi="Arial" w:cs="Arial"/>
        </w:rPr>
        <w:tab/>
      </w:r>
    </w:p>
    <w:p w14:paraId="0046CEC9" w14:textId="205B42E1" w:rsidR="003543DD" w:rsidRPr="00EA0611" w:rsidRDefault="003543DD" w:rsidP="003543DD">
      <w:pPr>
        <w:pStyle w:val="NoSpacing"/>
        <w:ind w:left="288"/>
        <w:rPr>
          <w:rStyle w:val="Hyperlink"/>
          <w:rFonts w:ascii="Arial" w:hAnsi="Arial" w:cs="Arial"/>
          <w:color w:val="auto"/>
          <w:u w:val="none"/>
        </w:rPr>
      </w:pPr>
      <w:r w:rsidRPr="00EA0611">
        <w:rPr>
          <w:rStyle w:val="Hyperlink"/>
          <w:rFonts w:ascii="Arial" w:hAnsi="Arial" w:cs="Arial"/>
          <w:color w:val="auto"/>
          <w:u w:val="none"/>
        </w:rPr>
        <w:tab/>
        <w:t xml:space="preserve">up to 1,000,000 residents </w:t>
      </w:r>
      <w:r w:rsidRPr="00EA0611">
        <w:rPr>
          <w:rStyle w:val="Hyperlink"/>
          <w:rFonts w:ascii="Arial" w:hAnsi="Arial" w:cs="Arial"/>
          <w:color w:val="auto"/>
          <w:u w:val="none"/>
        </w:rPr>
        <w:tab/>
      </w:r>
      <w:r w:rsidRPr="00EA0611">
        <w:rPr>
          <w:rStyle w:val="Hyperlink"/>
          <w:rFonts w:ascii="Arial" w:hAnsi="Arial" w:cs="Arial"/>
          <w:color w:val="auto"/>
          <w:u w:val="none"/>
        </w:rPr>
        <w:tab/>
      </w:r>
      <w:r w:rsidRPr="00EA0611">
        <w:rPr>
          <w:rStyle w:val="Hyperlink"/>
          <w:rFonts w:ascii="Arial" w:hAnsi="Arial" w:cs="Arial"/>
          <w:color w:val="auto"/>
          <w:u w:val="none"/>
        </w:rPr>
        <w:tab/>
        <w:t>$</w:t>
      </w:r>
      <w:r w:rsidR="008D6664" w:rsidRPr="00EA0611">
        <w:rPr>
          <w:rStyle w:val="Hyperlink"/>
          <w:rFonts w:ascii="Arial" w:hAnsi="Arial" w:cs="Arial"/>
          <w:color w:val="auto"/>
          <w:u w:val="none"/>
        </w:rPr>
        <w:t>9</w:t>
      </w:r>
      <w:r w:rsidRPr="00EA0611">
        <w:rPr>
          <w:rStyle w:val="Hyperlink"/>
          <w:rFonts w:ascii="Arial" w:hAnsi="Arial" w:cs="Arial"/>
          <w:color w:val="auto"/>
          <w:u w:val="none"/>
        </w:rPr>
        <w:t>0,000</w:t>
      </w:r>
      <w:r w:rsidRPr="00EA0611">
        <w:rPr>
          <w:rStyle w:val="Hyperlink"/>
          <w:rFonts w:ascii="Arial" w:hAnsi="Arial" w:cs="Arial"/>
          <w:color w:val="auto"/>
          <w:u w:val="none"/>
        </w:rPr>
        <w:tab/>
        <w:t>$</w:t>
      </w:r>
      <w:r w:rsidR="008414B1">
        <w:rPr>
          <w:rStyle w:val="Hyperlink"/>
          <w:rFonts w:ascii="Arial" w:hAnsi="Arial" w:cs="Arial"/>
          <w:color w:val="auto"/>
          <w:u w:val="none"/>
        </w:rPr>
        <w:t>81,000</w:t>
      </w:r>
      <w:r w:rsidRPr="00EA0611">
        <w:rPr>
          <w:rStyle w:val="Hyperlink"/>
          <w:rFonts w:ascii="Arial" w:hAnsi="Arial" w:cs="Arial"/>
          <w:color w:val="auto"/>
          <w:u w:val="none"/>
        </w:rPr>
        <w:tab/>
      </w:r>
    </w:p>
    <w:p w14:paraId="3777AEA4" w14:textId="205AAA29" w:rsidR="003543DD" w:rsidRPr="005B4268" w:rsidRDefault="003543DD" w:rsidP="003543DD">
      <w:pPr>
        <w:pStyle w:val="NoSpacing"/>
        <w:ind w:left="288"/>
      </w:pPr>
      <w:r w:rsidRPr="00EA0611">
        <w:rPr>
          <w:rStyle w:val="Hyperlink"/>
          <w:rFonts w:ascii="Arial" w:hAnsi="Arial" w:cs="Arial"/>
          <w:color w:val="auto"/>
          <w:u w:val="none"/>
        </w:rPr>
        <w:tab/>
        <w:t>more than 1,000,000 residents</w:t>
      </w:r>
      <w:r w:rsidRPr="00EA0611">
        <w:rPr>
          <w:rStyle w:val="Hyperlink"/>
          <w:rFonts w:ascii="Arial" w:hAnsi="Arial" w:cs="Arial"/>
          <w:color w:val="auto"/>
          <w:u w:val="none"/>
        </w:rPr>
        <w:tab/>
      </w:r>
      <w:r w:rsidRPr="00EA0611">
        <w:rPr>
          <w:rStyle w:val="Hyperlink"/>
          <w:rFonts w:ascii="Arial" w:hAnsi="Arial" w:cs="Arial"/>
          <w:color w:val="auto"/>
          <w:u w:val="none"/>
        </w:rPr>
        <w:tab/>
        <w:t>$</w:t>
      </w:r>
      <w:r w:rsidR="008D6664" w:rsidRPr="00EA0611">
        <w:rPr>
          <w:rStyle w:val="Hyperlink"/>
          <w:rFonts w:ascii="Arial" w:hAnsi="Arial" w:cs="Arial"/>
          <w:color w:val="auto"/>
          <w:u w:val="none"/>
        </w:rPr>
        <w:t>1</w:t>
      </w:r>
      <w:r w:rsidRPr="00EA0611">
        <w:rPr>
          <w:rStyle w:val="Hyperlink"/>
          <w:rFonts w:ascii="Arial" w:hAnsi="Arial" w:cs="Arial"/>
          <w:color w:val="auto"/>
          <w:u w:val="none"/>
        </w:rPr>
        <w:t>50,000</w:t>
      </w:r>
      <w:r w:rsidRPr="00EA0611">
        <w:rPr>
          <w:rStyle w:val="Hyperlink"/>
          <w:rFonts w:ascii="Arial" w:hAnsi="Arial" w:cs="Arial"/>
          <w:color w:val="auto"/>
          <w:u w:val="none"/>
        </w:rPr>
        <w:tab/>
        <w:t>$</w:t>
      </w:r>
      <w:r w:rsidR="008414B1">
        <w:rPr>
          <w:rStyle w:val="Hyperlink"/>
          <w:rFonts w:ascii="Arial" w:hAnsi="Arial" w:cs="Arial"/>
          <w:color w:val="auto"/>
          <w:u w:val="none"/>
        </w:rPr>
        <w:t>135,000</w:t>
      </w:r>
      <w:r w:rsidRPr="005B4268">
        <w:t xml:space="preserve"> </w:t>
      </w:r>
    </w:p>
    <w:p w14:paraId="7AF60486" w14:textId="77777777" w:rsidR="00800F16" w:rsidRDefault="00800F16" w:rsidP="00800F16">
      <w:pPr>
        <w:pStyle w:val="NoSpacing"/>
        <w:rPr>
          <w:rFonts w:ascii="Arial" w:hAnsi="Arial" w:cs="Arial"/>
          <w:b/>
        </w:rPr>
      </w:pPr>
    </w:p>
    <w:p w14:paraId="143EA629" w14:textId="32B8EA01" w:rsidR="00800F16" w:rsidRPr="009D10A0" w:rsidRDefault="00800F16" w:rsidP="00800F16">
      <w:pPr>
        <w:pStyle w:val="NoSpacing"/>
        <w:rPr>
          <w:rFonts w:ascii="Arial" w:hAnsi="Arial" w:cs="Arial"/>
          <w:b/>
        </w:rPr>
      </w:pPr>
      <w:r w:rsidRPr="009D10A0">
        <w:rPr>
          <w:rFonts w:ascii="Arial" w:hAnsi="Arial" w:cs="Arial"/>
          <w:b/>
        </w:rPr>
        <w:t>Planning Related Activities</w:t>
      </w:r>
      <w:r>
        <w:rPr>
          <w:rFonts w:ascii="Arial" w:hAnsi="Arial" w:cs="Arial"/>
          <w:b/>
        </w:rPr>
        <w:t xml:space="preserve">: </w:t>
      </w:r>
    </w:p>
    <w:p w14:paraId="42793881" w14:textId="77777777" w:rsidR="00800F16" w:rsidRDefault="00800F16" w:rsidP="00800F16">
      <w:pPr>
        <w:pStyle w:val="NoSpacing"/>
        <w:rPr>
          <w:rFonts w:ascii="Arial" w:hAnsi="Arial" w:cs="Arial"/>
          <w:bCs/>
        </w:rPr>
      </w:pPr>
    </w:p>
    <w:p w14:paraId="3F797CE3" w14:textId="1208EAD5" w:rsidR="00800F16" w:rsidRDefault="00800F16" w:rsidP="00800F16">
      <w:pPr>
        <w:pStyle w:val="NoSpacing"/>
        <w:rPr>
          <w:rFonts w:ascii="Arial" w:hAnsi="Arial" w:cs="Arial"/>
          <w:bCs/>
          <w:u w:val="single"/>
        </w:rPr>
      </w:pPr>
      <w:r w:rsidRPr="009D10A0">
        <w:rPr>
          <w:rFonts w:ascii="Arial" w:hAnsi="Arial" w:cs="Arial"/>
          <w:bCs/>
        </w:rPr>
        <w:t>Planning-related activities that are not formal plan updates will be scored based on the prioritization criteria for projects.  For a complete list of eligible planning activities, see page 39 of the Hazard Mitigation Assistance Guidance</w:t>
      </w:r>
      <w:r>
        <w:rPr>
          <w:rFonts w:ascii="Arial" w:hAnsi="Arial" w:cs="Arial"/>
          <w:bCs/>
        </w:rPr>
        <w:t xml:space="preserve"> </w:t>
      </w:r>
      <w:r w:rsidRPr="00575C80">
        <w:rPr>
          <w:rFonts w:ascii="Arial" w:hAnsi="Arial" w:cs="Arial"/>
          <w:bCs/>
          <w:i/>
          <w:iCs/>
          <w:sz w:val="18"/>
          <w:szCs w:val="18"/>
        </w:rPr>
        <w:t>(see link below).</w:t>
      </w:r>
      <w:r w:rsidRPr="009D10A0">
        <w:rPr>
          <w:rFonts w:ascii="Arial" w:hAnsi="Arial" w:cs="Arial"/>
          <w:bCs/>
        </w:rPr>
        <w:t xml:space="preserve">  For supplemental guidance on </w:t>
      </w:r>
      <w:r w:rsidRPr="00800F16">
        <w:rPr>
          <w:rFonts w:ascii="Arial" w:hAnsi="Arial" w:cs="Arial"/>
          <w:bCs/>
        </w:rPr>
        <w:t xml:space="preserve">eligible planning related activities, please see: </w:t>
      </w:r>
      <w:r w:rsidR="00016F43">
        <w:t xml:space="preserve"> </w:t>
      </w:r>
      <w:hyperlink r:id="rId12" w:history="1">
        <w:r w:rsidR="00016F43" w:rsidRPr="00A324DB">
          <w:rPr>
            <w:rStyle w:val="Hyperlink"/>
          </w:rPr>
          <w:t>https://www.fema.gov/sites/default/files/documents/fema_hma-planning-related-activities_factsheet.pdf</w:t>
        </w:r>
      </w:hyperlink>
      <w:r w:rsidR="00016F43">
        <w:t xml:space="preserve"> </w:t>
      </w:r>
      <w:r>
        <w:rPr>
          <w:rFonts w:ascii="Arial" w:hAnsi="Arial" w:cs="Arial"/>
          <w:bCs/>
          <w:u w:val="single"/>
        </w:rPr>
        <w:t xml:space="preserve"> </w:t>
      </w:r>
    </w:p>
    <w:p w14:paraId="2F57E9E4" w14:textId="77777777" w:rsidR="00800F16" w:rsidRDefault="00800F16" w:rsidP="007F6BDA">
      <w:pPr>
        <w:pStyle w:val="NoSpacing"/>
        <w:spacing w:before="120" w:after="120"/>
        <w:jc w:val="both"/>
        <w:rPr>
          <w:rFonts w:ascii="Arial" w:hAnsi="Arial" w:cs="Arial"/>
          <w:b/>
          <w:u w:val="single"/>
        </w:rPr>
      </w:pPr>
    </w:p>
    <w:p w14:paraId="14C30C22" w14:textId="460E5822" w:rsidR="00736F04" w:rsidRDefault="00736F04" w:rsidP="007F6BDA">
      <w:pPr>
        <w:pStyle w:val="NoSpacing"/>
        <w:spacing w:before="120" w:after="120"/>
        <w:jc w:val="both"/>
        <w:rPr>
          <w:rFonts w:ascii="Arial" w:hAnsi="Arial" w:cs="Arial"/>
          <w:b/>
          <w:u w:val="single"/>
        </w:rPr>
      </w:pPr>
      <w:r w:rsidRPr="000565A2">
        <w:rPr>
          <w:rFonts w:ascii="Arial" w:hAnsi="Arial" w:cs="Arial"/>
          <w:b/>
          <w:u w:val="single"/>
        </w:rPr>
        <w:t>How to Apply</w:t>
      </w:r>
    </w:p>
    <w:p w14:paraId="3D5DE57E" w14:textId="7EC4730B" w:rsidR="00BE2EA4" w:rsidRPr="0076108F" w:rsidRDefault="00A63AFE" w:rsidP="00335BB2">
      <w:pPr>
        <w:pStyle w:val="NoSpacing"/>
        <w:spacing w:before="120" w:after="120"/>
        <w:rPr>
          <w:rFonts w:ascii="Arial" w:hAnsi="Arial" w:cs="Arial"/>
          <w:bCs/>
          <w:i/>
          <w:iCs/>
          <w:sz w:val="16"/>
          <w:szCs w:val="16"/>
        </w:rPr>
      </w:pPr>
      <w:r>
        <w:rPr>
          <w:rFonts w:ascii="Arial" w:hAnsi="Arial" w:cs="Arial"/>
          <w:bCs/>
        </w:rPr>
        <w:t xml:space="preserve">Complete </w:t>
      </w:r>
      <w:r w:rsidR="0076108F">
        <w:rPr>
          <w:rFonts w:ascii="Arial" w:hAnsi="Arial" w:cs="Arial"/>
          <w:bCs/>
        </w:rPr>
        <w:t>s</w:t>
      </w:r>
      <w:r>
        <w:rPr>
          <w:rFonts w:ascii="Arial" w:hAnsi="Arial" w:cs="Arial"/>
          <w:bCs/>
        </w:rPr>
        <w:t xml:space="preserve">ubapplications must be submitted to DHSES </w:t>
      </w:r>
      <w:r w:rsidR="007A3D8B">
        <w:rPr>
          <w:rFonts w:ascii="Arial" w:hAnsi="Arial" w:cs="Arial"/>
          <w:bCs/>
        </w:rPr>
        <w:t>no later than</w:t>
      </w:r>
      <w:r>
        <w:rPr>
          <w:rFonts w:ascii="Arial" w:hAnsi="Arial" w:cs="Arial"/>
          <w:bCs/>
        </w:rPr>
        <w:t xml:space="preserve"> </w:t>
      </w:r>
      <w:r w:rsidR="004F7A1A" w:rsidRPr="00F95E56">
        <w:rPr>
          <w:rFonts w:ascii="Arial" w:hAnsi="Arial" w:cs="Arial"/>
          <w:bCs/>
        </w:rPr>
        <w:t>June 1</w:t>
      </w:r>
      <w:r w:rsidRPr="00F95E56">
        <w:rPr>
          <w:rFonts w:ascii="Arial" w:hAnsi="Arial" w:cs="Arial"/>
          <w:bCs/>
        </w:rPr>
        <w:t xml:space="preserve">, 2022.  </w:t>
      </w:r>
      <w:r w:rsidR="0076108F" w:rsidRPr="00F95E56">
        <w:rPr>
          <w:rFonts w:ascii="Arial" w:hAnsi="Arial" w:cs="Arial"/>
          <w:bCs/>
        </w:rPr>
        <w:t>For</w:t>
      </w:r>
      <w:r w:rsidR="0076108F">
        <w:rPr>
          <w:rFonts w:ascii="Arial" w:hAnsi="Arial" w:cs="Arial"/>
          <w:bCs/>
        </w:rPr>
        <w:t xml:space="preserve"> resubmittals of projects previously deemed eligible by FEMA, please be sure to submit using the application package for DR-4615 </w:t>
      </w:r>
      <w:r w:rsidR="0076108F" w:rsidRPr="0076108F">
        <w:rPr>
          <w:rFonts w:ascii="Arial" w:hAnsi="Arial" w:cs="Arial"/>
          <w:bCs/>
          <w:sz w:val="16"/>
          <w:szCs w:val="16"/>
        </w:rPr>
        <w:t>(</w:t>
      </w:r>
      <w:r w:rsidR="0076108F">
        <w:rPr>
          <w:rFonts w:ascii="Arial" w:hAnsi="Arial" w:cs="Arial"/>
          <w:bCs/>
          <w:i/>
          <w:iCs/>
          <w:sz w:val="16"/>
          <w:szCs w:val="16"/>
        </w:rPr>
        <w:t>see link below).</w:t>
      </w:r>
    </w:p>
    <w:p w14:paraId="1DFE61D0" w14:textId="0C5030D5" w:rsidR="00575C80" w:rsidRDefault="00BE2EA4" w:rsidP="00BE2EA4">
      <w:pPr>
        <w:pStyle w:val="Default"/>
      </w:pPr>
      <w:r w:rsidRPr="00DB0C17">
        <w:rPr>
          <w:b/>
          <w:bCs/>
          <w:i/>
          <w:iCs/>
          <w:color w:val="auto"/>
          <w:sz w:val="20"/>
          <w:szCs w:val="20"/>
        </w:rPr>
        <w:t>S</w:t>
      </w:r>
      <w:r w:rsidR="00575C80" w:rsidRPr="00DB0C17">
        <w:rPr>
          <w:b/>
          <w:bCs/>
          <w:i/>
          <w:iCs/>
          <w:color w:val="auto"/>
          <w:sz w:val="20"/>
          <w:szCs w:val="20"/>
        </w:rPr>
        <w:t>ubapplications</w:t>
      </w:r>
      <w:r w:rsidR="00DA0B18">
        <w:rPr>
          <w:b/>
          <w:bCs/>
          <w:i/>
          <w:iCs/>
          <w:color w:val="auto"/>
          <w:sz w:val="20"/>
          <w:szCs w:val="20"/>
        </w:rPr>
        <w:t>,</w:t>
      </w:r>
      <w:r w:rsidR="00575C80" w:rsidRPr="00DB0C17">
        <w:rPr>
          <w:b/>
          <w:bCs/>
          <w:i/>
          <w:iCs/>
          <w:color w:val="auto"/>
          <w:sz w:val="20"/>
          <w:szCs w:val="20"/>
        </w:rPr>
        <w:t xml:space="preserve"> </w:t>
      </w:r>
      <w:r w:rsidRPr="00DB0C17">
        <w:rPr>
          <w:b/>
          <w:bCs/>
          <w:i/>
          <w:iCs/>
          <w:color w:val="auto"/>
          <w:sz w:val="20"/>
          <w:szCs w:val="20"/>
        </w:rPr>
        <w:t xml:space="preserve">all </w:t>
      </w:r>
      <w:r w:rsidR="00575C80" w:rsidRPr="00DB0C17">
        <w:rPr>
          <w:b/>
          <w:bCs/>
          <w:i/>
          <w:iCs/>
          <w:color w:val="auto"/>
          <w:sz w:val="20"/>
          <w:szCs w:val="20"/>
        </w:rPr>
        <w:t>required forms</w:t>
      </w:r>
      <w:r w:rsidR="00DA0B18">
        <w:rPr>
          <w:b/>
          <w:bCs/>
          <w:i/>
          <w:iCs/>
          <w:color w:val="auto"/>
          <w:sz w:val="20"/>
          <w:szCs w:val="20"/>
        </w:rPr>
        <w:t>,</w:t>
      </w:r>
      <w:r w:rsidR="00575C80" w:rsidRPr="00DB0C17">
        <w:rPr>
          <w:b/>
          <w:bCs/>
          <w:i/>
          <w:iCs/>
          <w:color w:val="auto"/>
          <w:sz w:val="20"/>
          <w:szCs w:val="20"/>
        </w:rPr>
        <w:t xml:space="preserve"> and guidance material</w:t>
      </w:r>
      <w:r w:rsidR="00DA0B18">
        <w:rPr>
          <w:b/>
          <w:bCs/>
          <w:i/>
          <w:iCs/>
          <w:color w:val="auto"/>
          <w:sz w:val="20"/>
          <w:szCs w:val="20"/>
        </w:rPr>
        <w:t>s</w:t>
      </w:r>
      <w:r w:rsidR="00575C80" w:rsidRPr="00DB0C17">
        <w:rPr>
          <w:b/>
          <w:bCs/>
          <w:i/>
          <w:iCs/>
          <w:color w:val="auto"/>
          <w:sz w:val="20"/>
          <w:szCs w:val="20"/>
        </w:rPr>
        <w:t xml:space="preserve"> can be found </w:t>
      </w:r>
      <w:r w:rsidR="00DA0B18">
        <w:rPr>
          <w:b/>
          <w:bCs/>
          <w:i/>
          <w:iCs/>
          <w:color w:val="auto"/>
          <w:sz w:val="20"/>
          <w:szCs w:val="20"/>
        </w:rPr>
        <w:t>on the</w:t>
      </w:r>
      <w:r w:rsidR="00575C80" w:rsidRPr="00DB0C17">
        <w:rPr>
          <w:b/>
          <w:bCs/>
          <w:i/>
          <w:iCs/>
          <w:color w:val="auto"/>
          <w:sz w:val="20"/>
          <w:szCs w:val="20"/>
        </w:rPr>
        <w:t xml:space="preserve"> DHSES website at</w:t>
      </w:r>
      <w:r w:rsidR="00951403">
        <w:rPr>
          <w:b/>
          <w:bCs/>
          <w:i/>
          <w:iCs/>
          <w:color w:val="auto"/>
          <w:sz w:val="20"/>
          <w:szCs w:val="20"/>
        </w:rPr>
        <w:t>:</w:t>
      </w:r>
      <w:r w:rsidR="00575C80" w:rsidRPr="00DB0C17">
        <w:rPr>
          <w:b/>
          <w:bCs/>
          <w:i/>
          <w:iCs/>
          <w:color w:val="auto"/>
          <w:sz w:val="20"/>
          <w:szCs w:val="20"/>
        </w:rPr>
        <w:t xml:space="preserve"> </w:t>
      </w:r>
      <w:r w:rsidR="00016F43">
        <w:t xml:space="preserve"> </w:t>
      </w:r>
      <w:hyperlink r:id="rId13" w:history="1">
        <w:r w:rsidR="00016F43" w:rsidRPr="00A324DB">
          <w:rPr>
            <w:rStyle w:val="Hyperlink"/>
          </w:rPr>
          <w:t>https://www.dhses.ny.gov/dr-4615-hazard-mitigation-grant-program-funding</w:t>
        </w:r>
      </w:hyperlink>
    </w:p>
    <w:p w14:paraId="40DD35C5" w14:textId="42FB3810" w:rsidR="00D60E1D" w:rsidRPr="00951403" w:rsidRDefault="00D60E1D" w:rsidP="00575C80">
      <w:pPr>
        <w:pStyle w:val="Default"/>
        <w:rPr>
          <w:rStyle w:val="Hyperlink"/>
          <w:sz w:val="22"/>
          <w:szCs w:val="22"/>
          <w:u w:val="none"/>
        </w:rPr>
      </w:pPr>
      <w:r w:rsidRPr="00951403">
        <w:rPr>
          <w:rStyle w:val="Hyperlink"/>
          <w:sz w:val="22"/>
          <w:szCs w:val="22"/>
          <w:u w:val="none"/>
        </w:rPr>
        <w:t xml:space="preserve">  </w:t>
      </w:r>
    </w:p>
    <w:p w14:paraId="1667F14F" w14:textId="77777777" w:rsidR="00A63AFE" w:rsidRPr="0038263B" w:rsidRDefault="00A63AFE" w:rsidP="00A63AFE">
      <w:pPr>
        <w:spacing w:after="120" w:line="240" w:lineRule="auto"/>
        <w:rPr>
          <w:rFonts w:ascii="Arial" w:hAnsi="Arial" w:cs="Arial"/>
        </w:rPr>
      </w:pPr>
      <w:r w:rsidRPr="0038263B">
        <w:rPr>
          <w:rFonts w:ascii="Arial" w:hAnsi="Arial" w:cs="Arial"/>
        </w:rPr>
        <w:t xml:space="preserve">Please submit requests for technical assistance and/or questions to: </w:t>
      </w:r>
      <w:hyperlink r:id="rId14" w:history="1">
        <w:r w:rsidRPr="003279A8">
          <w:rPr>
            <w:rStyle w:val="Hyperlink"/>
            <w:rFonts w:ascii="Arial" w:hAnsi="Arial" w:cs="Arial"/>
          </w:rPr>
          <w:t>HazardMitigation@dhses.ny.gov</w:t>
        </w:r>
      </w:hyperlink>
      <w:r>
        <w:rPr>
          <w:rStyle w:val="Hyperlink"/>
          <w:rFonts w:ascii="Arial" w:hAnsi="Arial" w:cs="Arial"/>
        </w:rPr>
        <w:t>.</w:t>
      </w:r>
      <w:r>
        <w:rPr>
          <w:rFonts w:ascii="Arial" w:hAnsi="Arial" w:cs="Arial"/>
        </w:rPr>
        <w:t xml:space="preserve"> </w:t>
      </w:r>
    </w:p>
    <w:p w14:paraId="7F55B75A" w14:textId="77777777" w:rsidR="00A63AFE" w:rsidRDefault="00A63AFE" w:rsidP="00BE2EA4">
      <w:pPr>
        <w:pStyle w:val="Default"/>
        <w:rPr>
          <w:rStyle w:val="Hyperlink"/>
          <w:b/>
          <w:bCs/>
          <w:i/>
          <w:iCs/>
          <w:color w:val="auto"/>
          <w:sz w:val="20"/>
          <w:szCs w:val="20"/>
          <w:u w:val="none"/>
        </w:rPr>
      </w:pPr>
    </w:p>
    <w:sectPr w:rsidR="00A63AFE" w:rsidSect="00335BB2">
      <w:footerReference w:type="default" r:id="rId15"/>
      <w:headerReference w:type="first" r:id="rId16"/>
      <w:footerReference w:type="first" r:id="rId17"/>
      <w:pgSz w:w="12240" w:h="15840" w:code="1"/>
      <w:pgMar w:top="1152"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81F7" w14:textId="77777777" w:rsidR="00374840" w:rsidRDefault="00374840" w:rsidP="00FC432B">
      <w:pPr>
        <w:spacing w:after="0" w:line="240" w:lineRule="auto"/>
      </w:pPr>
      <w:r>
        <w:separator/>
      </w:r>
    </w:p>
  </w:endnote>
  <w:endnote w:type="continuationSeparator" w:id="0">
    <w:p w14:paraId="5ADD1E5F" w14:textId="77777777" w:rsidR="00374840" w:rsidRDefault="00374840" w:rsidP="00FC432B">
      <w:pPr>
        <w:spacing w:after="0" w:line="240" w:lineRule="auto"/>
      </w:pPr>
      <w:r>
        <w:continuationSeparator/>
      </w:r>
    </w:p>
  </w:endnote>
  <w:endnote w:type="continuationNotice" w:id="1">
    <w:p w14:paraId="76224A62" w14:textId="77777777" w:rsidR="00374840" w:rsidRDefault="003748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3FA2" w14:textId="77777777" w:rsidR="007E64CE" w:rsidRDefault="007E64CE" w:rsidP="00BA0CBD">
    <w:pPr>
      <w:pStyle w:val="Footer"/>
      <w:tabs>
        <w:tab w:val="clear" w:pos="4680"/>
        <w:tab w:val="clear" w:pos="9360"/>
        <w:tab w:val="left" w:pos="8240"/>
      </w:tabs>
    </w:pPr>
    <w:r>
      <w:rPr>
        <w:noProof/>
      </w:rPr>
      <mc:AlternateContent>
        <mc:Choice Requires="wps">
          <w:drawing>
            <wp:anchor distT="0" distB="0" distL="114300" distR="114300" simplePos="0" relativeHeight="251658240" behindDoc="0" locked="0" layoutInCell="1" allowOverlap="1" wp14:anchorId="7ABD77D8" wp14:editId="51ABA223">
              <wp:simplePos x="0" y="0"/>
              <wp:positionH relativeFrom="column">
                <wp:posOffset>0</wp:posOffset>
              </wp:positionH>
              <wp:positionV relativeFrom="paragraph">
                <wp:posOffset>93345</wp:posOffset>
              </wp:positionV>
              <wp:extent cx="6810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ln w="12700">
                        <a:solidFill>
                          <a:srgbClr val="6465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92604"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7.35pt" to="536.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Uy3wEAAA4EAAAOAAAAZHJzL2Uyb0RvYy54bWysU9uO0zAQfUfiHyy/01xgu0vUdB+6Wl4Q&#10;VCx8gOvYiSXfNDZN+veMnTS7AoQE4sXJ2DNnzjke7+4no8lZQFDOtrTalJQIy12nbN/Sb18f39xR&#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" strokecolor="#646569" strokeweight="1pt"/>
          </w:pict>
        </mc:Fallback>
      </mc:AlternateContent>
    </w:r>
    <w:r>
      <w:tab/>
    </w:r>
  </w:p>
  <w:p w14:paraId="2F6EF575" w14:textId="77777777" w:rsidR="007E64CE" w:rsidRPr="00D86410" w:rsidRDefault="007E64CE" w:rsidP="00FC432B">
    <w:pPr>
      <w:pStyle w:val="Footer"/>
      <w:jc w:val="center"/>
      <w:rPr>
        <w:rFonts w:ascii="Proxima Nova Rg" w:hAnsi="Proxima Nova Rg"/>
        <w:color w:val="646569"/>
        <w:sz w:val="16"/>
        <w:szCs w:val="16"/>
      </w:rPr>
    </w:pPr>
    <w:r>
      <w:rPr>
        <w:rFonts w:ascii="Proxima Nova Rg" w:hAnsi="Proxima Nova Rg"/>
        <w:color w:val="646569"/>
        <w:sz w:val="16"/>
        <w:szCs w:val="16"/>
      </w:rPr>
      <w:t>1220 Washington Ave, Bldg. 7A, 4</w:t>
    </w:r>
    <w:r w:rsidRPr="003651F0">
      <w:rPr>
        <w:rFonts w:ascii="Proxima Nova Rg" w:hAnsi="Proxima Nova Rg"/>
        <w:color w:val="646569"/>
        <w:sz w:val="16"/>
        <w:szCs w:val="16"/>
        <w:vertAlign w:val="superscript"/>
      </w:rPr>
      <w:t>th</w:t>
    </w:r>
    <w:r>
      <w:rPr>
        <w:rFonts w:ascii="Proxima Nova Rg" w:hAnsi="Proxima Nova Rg"/>
        <w:color w:val="646569"/>
        <w:sz w:val="16"/>
        <w:szCs w:val="16"/>
      </w:rPr>
      <w:t xml:space="preserve"> Floor, Albany, NY 12242 </w:t>
    </w:r>
    <w:r w:rsidRPr="00D86410">
      <w:rPr>
        <w:rFonts w:ascii="Courier New" w:hAnsi="Courier New" w:cs="Courier New"/>
        <w:color w:val="646569"/>
        <w:sz w:val="16"/>
        <w:szCs w:val="16"/>
      </w:rPr>
      <w:t>│</w:t>
    </w:r>
    <w:r w:rsidRPr="00D86410">
      <w:rPr>
        <w:rFonts w:ascii="Proxima Nova Rg" w:hAnsi="Proxima Nova Rg"/>
        <w:color w:val="646569"/>
        <w:sz w:val="16"/>
        <w:szCs w:val="16"/>
      </w:rPr>
      <w:t xml:space="preserve"> </w:t>
    </w:r>
    <w:r>
      <w:rPr>
        <w:rFonts w:ascii="Proxima Nova Rg" w:hAnsi="Proxima Nova Rg"/>
        <w:color w:val="646569"/>
        <w:sz w:val="16"/>
        <w:szCs w:val="16"/>
      </w:rPr>
      <w:t>(518)</w:t>
    </w:r>
    <w:r w:rsidRPr="00D86410">
      <w:rPr>
        <w:rFonts w:ascii="Proxima Nova Rg" w:hAnsi="Proxima Nova Rg"/>
        <w:color w:val="646569"/>
        <w:sz w:val="16"/>
        <w:szCs w:val="16"/>
      </w:rPr>
      <w:t xml:space="preserve"> </w:t>
    </w:r>
    <w:r>
      <w:rPr>
        <w:rFonts w:ascii="Proxima Nova Rg" w:hAnsi="Proxima Nova Rg"/>
        <w:color w:val="646569"/>
        <w:sz w:val="16"/>
        <w:szCs w:val="16"/>
      </w:rPr>
      <w:t>292-2304</w:t>
    </w:r>
    <w:r w:rsidRPr="00D86410">
      <w:rPr>
        <w:rFonts w:ascii="Courier New" w:hAnsi="Courier New" w:cs="Courier New"/>
        <w:color w:val="646569"/>
        <w:sz w:val="16"/>
        <w:szCs w:val="16"/>
      </w:rPr>
      <w:t>│</w:t>
    </w:r>
    <w:r>
      <w:rPr>
        <w:rFonts w:ascii="Proxima Nova Rg" w:hAnsi="Proxima Nova Rg"/>
        <w:color w:val="646569"/>
        <w:sz w:val="16"/>
        <w:szCs w:val="16"/>
      </w:rPr>
      <w:t>dhses.ny.gov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B3A6" w14:textId="6DF0A85E" w:rsidR="007E64CE" w:rsidRDefault="007E64CE">
    <w:pPr>
      <w:pStyle w:val="Footer"/>
      <w:pBdr>
        <w:bottom w:val="single" w:sz="6" w:space="1" w:color="auto"/>
      </w:pBdr>
    </w:pPr>
  </w:p>
  <w:p w14:paraId="1E389730" w14:textId="77777777" w:rsidR="007E64CE" w:rsidRDefault="007E64CE" w:rsidP="00205B22">
    <w:pPr>
      <w:pStyle w:val="Footer"/>
      <w:jc w:val="center"/>
    </w:pPr>
    <w:r>
      <w:rPr>
        <w:rFonts w:ascii="Proxima Nova Rg" w:hAnsi="Proxima Nova Rg"/>
        <w:color w:val="646569"/>
        <w:sz w:val="16"/>
        <w:szCs w:val="16"/>
      </w:rPr>
      <w:t>1220 Washington Ave, Bldg. 7a – 4</w:t>
    </w:r>
    <w:r w:rsidRPr="008B5A03">
      <w:rPr>
        <w:rFonts w:ascii="Proxima Nova Rg" w:hAnsi="Proxima Nova Rg"/>
        <w:color w:val="646569"/>
        <w:sz w:val="16"/>
        <w:szCs w:val="16"/>
        <w:vertAlign w:val="superscript"/>
      </w:rPr>
      <w:t>th</w:t>
    </w:r>
    <w:r>
      <w:rPr>
        <w:rFonts w:ascii="Proxima Nova Rg" w:hAnsi="Proxima Nova Rg"/>
        <w:color w:val="646569"/>
        <w:sz w:val="16"/>
        <w:szCs w:val="16"/>
      </w:rPr>
      <w:t xml:space="preserve"> Floor, Albany, NY 12242 </w:t>
    </w:r>
    <w:r w:rsidRPr="00D86410">
      <w:rPr>
        <w:rFonts w:ascii="Courier New" w:hAnsi="Courier New" w:cs="Courier New"/>
        <w:color w:val="646569"/>
        <w:sz w:val="16"/>
        <w:szCs w:val="16"/>
      </w:rPr>
      <w:t>│</w:t>
    </w:r>
    <w:r w:rsidRPr="00D86410">
      <w:rPr>
        <w:rFonts w:ascii="Proxima Nova Rg" w:hAnsi="Proxima Nova Rg"/>
        <w:color w:val="646569"/>
        <w:sz w:val="16"/>
        <w:szCs w:val="16"/>
      </w:rPr>
      <w:t xml:space="preserve"> </w:t>
    </w:r>
    <w:r>
      <w:rPr>
        <w:rFonts w:ascii="Proxima Nova Rg" w:hAnsi="Proxima Nova Rg"/>
        <w:color w:val="646569"/>
        <w:sz w:val="16"/>
        <w:szCs w:val="16"/>
      </w:rPr>
      <w:t>(518)</w:t>
    </w:r>
    <w:r w:rsidRPr="00D86410">
      <w:rPr>
        <w:rFonts w:ascii="Proxima Nova Rg" w:hAnsi="Proxima Nova Rg"/>
        <w:color w:val="646569"/>
        <w:sz w:val="16"/>
        <w:szCs w:val="16"/>
      </w:rPr>
      <w:t xml:space="preserve"> </w:t>
    </w:r>
    <w:r>
      <w:rPr>
        <w:rFonts w:ascii="Proxima Nova Rg" w:hAnsi="Proxima Nova Rg"/>
        <w:color w:val="646569"/>
        <w:sz w:val="16"/>
        <w:szCs w:val="16"/>
      </w:rPr>
      <w:t>292-2304</w:t>
    </w:r>
    <w:r w:rsidRPr="00D86410">
      <w:rPr>
        <w:rFonts w:ascii="Courier New" w:hAnsi="Courier New" w:cs="Courier New"/>
        <w:color w:val="646569"/>
        <w:sz w:val="16"/>
        <w:szCs w:val="16"/>
      </w:rPr>
      <w:t>│</w:t>
    </w:r>
    <w:r>
      <w:rPr>
        <w:rFonts w:ascii="Proxima Nova Rg" w:hAnsi="Proxima Nova Rg"/>
        <w:color w:val="646569"/>
        <w:sz w:val="16"/>
        <w:szCs w:val="16"/>
      </w:rPr>
      <w:t>dhses.ny.gov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4AF52" w14:textId="77777777" w:rsidR="00374840" w:rsidRDefault="00374840" w:rsidP="00FC432B">
      <w:pPr>
        <w:spacing w:after="0" w:line="240" w:lineRule="auto"/>
      </w:pPr>
      <w:r>
        <w:separator/>
      </w:r>
    </w:p>
  </w:footnote>
  <w:footnote w:type="continuationSeparator" w:id="0">
    <w:p w14:paraId="0910D820" w14:textId="77777777" w:rsidR="00374840" w:rsidRDefault="00374840" w:rsidP="00FC432B">
      <w:pPr>
        <w:spacing w:after="0" w:line="240" w:lineRule="auto"/>
      </w:pPr>
      <w:r>
        <w:continuationSeparator/>
      </w:r>
    </w:p>
  </w:footnote>
  <w:footnote w:type="continuationNotice" w:id="1">
    <w:p w14:paraId="4002C617" w14:textId="77777777" w:rsidR="00374840" w:rsidRDefault="00374840">
      <w:pPr>
        <w:spacing w:after="0" w:line="240" w:lineRule="auto"/>
      </w:pPr>
    </w:p>
  </w:footnote>
  <w:footnote w:id="2">
    <w:p w14:paraId="121F11AC" w14:textId="3AE067A7" w:rsidR="007E64CE" w:rsidRPr="003E5830" w:rsidRDefault="007E64CE">
      <w:pPr>
        <w:pStyle w:val="FootnoteText"/>
        <w:rPr>
          <w:rFonts w:ascii="Arial" w:hAnsi="Arial" w:cs="Arial"/>
          <w:color w:val="365F91" w:themeColor="accent1" w:themeShade="BF"/>
          <w:sz w:val="16"/>
          <w:szCs w:val="16"/>
        </w:rPr>
      </w:pPr>
      <w:r w:rsidRPr="003E5830">
        <w:rPr>
          <w:rStyle w:val="FootnoteReference"/>
          <w:rFonts w:ascii="Arial" w:hAnsi="Arial" w:cs="Arial"/>
          <w:sz w:val="16"/>
          <w:szCs w:val="16"/>
        </w:rPr>
        <w:footnoteRef/>
      </w:r>
      <w:r w:rsidRPr="003E5830">
        <w:rPr>
          <w:rFonts w:ascii="Arial" w:hAnsi="Arial" w:cs="Arial"/>
          <w:sz w:val="16"/>
          <w:szCs w:val="16"/>
        </w:rPr>
        <w:t xml:space="preserve"> </w:t>
      </w:r>
      <w:r>
        <w:rPr>
          <w:rFonts w:ascii="Arial" w:hAnsi="Arial" w:cs="Arial"/>
          <w:sz w:val="16"/>
          <w:szCs w:val="16"/>
        </w:rPr>
        <w:t>Please consult FEMA’s cost share guide (</w:t>
      </w:r>
      <w:hyperlink r:id="rId1" w:history="1">
        <w:r w:rsidRPr="00005BE7">
          <w:rPr>
            <w:rStyle w:val="Hyperlink"/>
            <w:rFonts w:ascii="Arial" w:hAnsi="Arial" w:cs="Arial"/>
            <w:sz w:val="16"/>
            <w:szCs w:val="16"/>
          </w:rPr>
          <w:t>https://www.fema.gov/sites/default/files/2020-08/fema_hma_cost-share-guide.pdf</w:t>
        </w:r>
      </w:hyperlink>
      <w:r>
        <w:rPr>
          <w:rFonts w:ascii="Arial" w:hAnsi="Arial" w:cs="Arial"/>
          <w:sz w:val="16"/>
          <w:szCs w:val="16"/>
        </w:rPr>
        <w:t>) for more information</w:t>
      </w:r>
      <w:r w:rsidRPr="003E5830">
        <w:rPr>
          <w:rFonts w:ascii="Arial" w:hAnsi="Arial" w:cs="Arial"/>
          <w:sz w:val="16"/>
          <w:szCs w:val="16"/>
        </w:rPr>
        <w:t xml:space="preserve">.  </w:t>
      </w:r>
      <w:r>
        <w:rPr>
          <w:rFonts w:ascii="Arial" w:hAnsi="Arial" w:cs="Arial"/>
          <w:sz w:val="16"/>
          <w:szCs w:val="16"/>
        </w:rPr>
        <w:t xml:space="preserve"> </w:t>
      </w:r>
    </w:p>
  </w:footnote>
  <w:footnote w:id="3">
    <w:p w14:paraId="259F0E12" w14:textId="77777777" w:rsidR="00582206" w:rsidRDefault="00582206" w:rsidP="00582206">
      <w:pPr>
        <w:pStyle w:val="FootnoteText"/>
      </w:pPr>
      <w:r>
        <w:rPr>
          <w:rStyle w:val="FootnoteReference"/>
        </w:rPr>
        <w:footnoteRef/>
      </w:r>
      <w:r>
        <w:t xml:space="preserve"> </w:t>
      </w:r>
      <w:r w:rsidRPr="00605310">
        <w:rPr>
          <w:rFonts w:ascii="Arial" w:hAnsi="Arial" w:cs="Arial"/>
          <w:sz w:val="16"/>
          <w:szCs w:val="16"/>
        </w:rPr>
        <w:t xml:space="preserve">Visit FEMA’s Benefit Cost Analysis website for more information: </w:t>
      </w:r>
      <w:hyperlink r:id="rId2" w:history="1">
        <w:r w:rsidRPr="00605310">
          <w:rPr>
            <w:rStyle w:val="Hyperlink"/>
            <w:rFonts w:ascii="Arial" w:hAnsi="Arial" w:cs="Arial"/>
            <w:sz w:val="16"/>
            <w:szCs w:val="16"/>
          </w:rPr>
          <w:t>https://www.fema.gov/grants/guidance-tools/benefit-cost-analysis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0C99" w14:textId="4D6D49B9" w:rsidR="007E64CE" w:rsidRDefault="007E64CE">
    <w:pPr>
      <w:pStyle w:val="Header"/>
    </w:pPr>
    <w:r>
      <w:rPr>
        <w:noProof/>
      </w:rPr>
      <w:drawing>
        <wp:inline distT="0" distB="0" distL="0" distR="0" wp14:anchorId="181DF647" wp14:editId="507DBB73">
          <wp:extent cx="2803634"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_AGENCY LOCK UP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3634" cy="457200"/>
                  </a:xfrm>
                  <a:prstGeom prst="rect">
                    <a:avLst/>
                  </a:prstGeom>
                </pic:spPr>
              </pic:pic>
            </a:graphicData>
          </a:graphic>
        </wp:inline>
      </w:drawing>
    </w:r>
  </w:p>
  <w:p w14:paraId="627A0F88" w14:textId="77777777" w:rsidR="007E64CE" w:rsidRPr="008B1A29" w:rsidRDefault="007E64CE">
    <w:pPr>
      <w:pStyle w:val="Header"/>
      <w:rPr>
        <w:rFonts w:ascii="Proxima Nova Rg" w:hAnsi="Proxima Nova Rg" w:cs="Arial"/>
        <w:noProof/>
        <w:color w:val="646569"/>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A47"/>
    <w:multiLevelType w:val="hybridMultilevel"/>
    <w:tmpl w:val="B8144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937B1"/>
    <w:multiLevelType w:val="hybridMultilevel"/>
    <w:tmpl w:val="630635E4"/>
    <w:lvl w:ilvl="0" w:tplc="B866D9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179EF"/>
    <w:multiLevelType w:val="hybridMultilevel"/>
    <w:tmpl w:val="4960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D6849"/>
    <w:multiLevelType w:val="hybridMultilevel"/>
    <w:tmpl w:val="2ED63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9F366D"/>
    <w:multiLevelType w:val="hybridMultilevel"/>
    <w:tmpl w:val="CBBA41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357796"/>
    <w:multiLevelType w:val="hybridMultilevel"/>
    <w:tmpl w:val="1D76A9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B7"/>
    <w:rsid w:val="000001B2"/>
    <w:rsid w:val="00000BA9"/>
    <w:rsid w:val="00001F0D"/>
    <w:rsid w:val="00003DD7"/>
    <w:rsid w:val="000058A5"/>
    <w:rsid w:val="00006CAF"/>
    <w:rsid w:val="00011BF5"/>
    <w:rsid w:val="00011F97"/>
    <w:rsid w:val="00016F43"/>
    <w:rsid w:val="00017A93"/>
    <w:rsid w:val="000207AC"/>
    <w:rsid w:val="00024D7A"/>
    <w:rsid w:val="000268B5"/>
    <w:rsid w:val="00027427"/>
    <w:rsid w:val="0003128C"/>
    <w:rsid w:val="0003308F"/>
    <w:rsid w:val="00037B90"/>
    <w:rsid w:val="00051F4B"/>
    <w:rsid w:val="00055C26"/>
    <w:rsid w:val="000565A2"/>
    <w:rsid w:val="00057134"/>
    <w:rsid w:val="0007336B"/>
    <w:rsid w:val="00092CC7"/>
    <w:rsid w:val="00097FD5"/>
    <w:rsid w:val="000B1C37"/>
    <w:rsid w:val="000B6C2A"/>
    <w:rsid w:val="000C5BE0"/>
    <w:rsid w:val="000C6C85"/>
    <w:rsid w:val="000C70DD"/>
    <w:rsid w:val="000C77CB"/>
    <w:rsid w:val="000D0D56"/>
    <w:rsid w:val="000D29A3"/>
    <w:rsid w:val="000D3744"/>
    <w:rsid w:val="000D38C5"/>
    <w:rsid w:val="000D3F10"/>
    <w:rsid w:val="000F181C"/>
    <w:rsid w:val="00100E13"/>
    <w:rsid w:val="0010102D"/>
    <w:rsid w:val="00115DEF"/>
    <w:rsid w:val="0012026C"/>
    <w:rsid w:val="00120AEF"/>
    <w:rsid w:val="0013387D"/>
    <w:rsid w:val="00141A90"/>
    <w:rsid w:val="00141B6E"/>
    <w:rsid w:val="001461C5"/>
    <w:rsid w:val="00147898"/>
    <w:rsid w:val="001510A7"/>
    <w:rsid w:val="001537D5"/>
    <w:rsid w:val="001607C7"/>
    <w:rsid w:val="00160D49"/>
    <w:rsid w:val="00163345"/>
    <w:rsid w:val="0016502F"/>
    <w:rsid w:val="00167D43"/>
    <w:rsid w:val="0017033C"/>
    <w:rsid w:val="00183663"/>
    <w:rsid w:val="00183704"/>
    <w:rsid w:val="00184C59"/>
    <w:rsid w:val="001878D7"/>
    <w:rsid w:val="00191346"/>
    <w:rsid w:val="001A16D7"/>
    <w:rsid w:val="001B3735"/>
    <w:rsid w:val="001C2C85"/>
    <w:rsid w:val="001C3BE0"/>
    <w:rsid w:val="001C4A09"/>
    <w:rsid w:val="001C7BAF"/>
    <w:rsid w:val="001D3039"/>
    <w:rsid w:val="001D68D1"/>
    <w:rsid w:val="001E076F"/>
    <w:rsid w:val="001E23DC"/>
    <w:rsid w:val="001E3272"/>
    <w:rsid w:val="001F3980"/>
    <w:rsid w:val="001F4B5A"/>
    <w:rsid w:val="001F7133"/>
    <w:rsid w:val="00202F0F"/>
    <w:rsid w:val="00205B22"/>
    <w:rsid w:val="00206844"/>
    <w:rsid w:val="00207227"/>
    <w:rsid w:val="00222B33"/>
    <w:rsid w:val="00232943"/>
    <w:rsid w:val="00240A0F"/>
    <w:rsid w:val="00242997"/>
    <w:rsid w:val="002449E0"/>
    <w:rsid w:val="002465F9"/>
    <w:rsid w:val="00246EC8"/>
    <w:rsid w:val="002631CC"/>
    <w:rsid w:val="00263897"/>
    <w:rsid w:val="00277796"/>
    <w:rsid w:val="00280B2F"/>
    <w:rsid w:val="00280C3D"/>
    <w:rsid w:val="0028191B"/>
    <w:rsid w:val="00281F6D"/>
    <w:rsid w:val="00282B06"/>
    <w:rsid w:val="00283C27"/>
    <w:rsid w:val="0028408B"/>
    <w:rsid w:val="00285291"/>
    <w:rsid w:val="002A514E"/>
    <w:rsid w:val="002A5703"/>
    <w:rsid w:val="002C05CC"/>
    <w:rsid w:val="002C5EA8"/>
    <w:rsid w:val="002D12AF"/>
    <w:rsid w:val="002D44A5"/>
    <w:rsid w:val="002E0288"/>
    <w:rsid w:val="002E3345"/>
    <w:rsid w:val="002E3C18"/>
    <w:rsid w:val="002F0B7C"/>
    <w:rsid w:val="002F3B2F"/>
    <w:rsid w:val="002F613D"/>
    <w:rsid w:val="00301A98"/>
    <w:rsid w:val="0030371F"/>
    <w:rsid w:val="00304BBA"/>
    <w:rsid w:val="00307546"/>
    <w:rsid w:val="00311609"/>
    <w:rsid w:val="00311E9D"/>
    <w:rsid w:val="00316CF5"/>
    <w:rsid w:val="003214BB"/>
    <w:rsid w:val="00323845"/>
    <w:rsid w:val="00325704"/>
    <w:rsid w:val="0032599F"/>
    <w:rsid w:val="00335BB2"/>
    <w:rsid w:val="0034576E"/>
    <w:rsid w:val="00345B46"/>
    <w:rsid w:val="00353D17"/>
    <w:rsid w:val="00353F95"/>
    <w:rsid w:val="003543DD"/>
    <w:rsid w:val="00356EF4"/>
    <w:rsid w:val="00363D6B"/>
    <w:rsid w:val="003648D7"/>
    <w:rsid w:val="003651F0"/>
    <w:rsid w:val="00371396"/>
    <w:rsid w:val="00372BC2"/>
    <w:rsid w:val="00374840"/>
    <w:rsid w:val="003758CB"/>
    <w:rsid w:val="00376076"/>
    <w:rsid w:val="0038263B"/>
    <w:rsid w:val="00382741"/>
    <w:rsid w:val="00384F91"/>
    <w:rsid w:val="00387534"/>
    <w:rsid w:val="003A3B9A"/>
    <w:rsid w:val="003A7A92"/>
    <w:rsid w:val="003B63AF"/>
    <w:rsid w:val="003B6966"/>
    <w:rsid w:val="003B76EE"/>
    <w:rsid w:val="003C2B2B"/>
    <w:rsid w:val="003C35DF"/>
    <w:rsid w:val="003C4010"/>
    <w:rsid w:val="003C4790"/>
    <w:rsid w:val="003C7FD5"/>
    <w:rsid w:val="003D07E5"/>
    <w:rsid w:val="003D2107"/>
    <w:rsid w:val="003D54FF"/>
    <w:rsid w:val="003D6EE7"/>
    <w:rsid w:val="003D6F81"/>
    <w:rsid w:val="003D704A"/>
    <w:rsid w:val="003E5830"/>
    <w:rsid w:val="003E6E61"/>
    <w:rsid w:val="003E7870"/>
    <w:rsid w:val="003F23FD"/>
    <w:rsid w:val="003F68A9"/>
    <w:rsid w:val="003F6B80"/>
    <w:rsid w:val="003F7D14"/>
    <w:rsid w:val="00404CD7"/>
    <w:rsid w:val="00407102"/>
    <w:rsid w:val="00416625"/>
    <w:rsid w:val="004227C0"/>
    <w:rsid w:val="00422D4F"/>
    <w:rsid w:val="00423D37"/>
    <w:rsid w:val="0042402E"/>
    <w:rsid w:val="0042481C"/>
    <w:rsid w:val="0042507D"/>
    <w:rsid w:val="004258AF"/>
    <w:rsid w:val="004313FB"/>
    <w:rsid w:val="004317DF"/>
    <w:rsid w:val="00433BED"/>
    <w:rsid w:val="00434A2F"/>
    <w:rsid w:val="004475D0"/>
    <w:rsid w:val="0044793D"/>
    <w:rsid w:val="00447E9B"/>
    <w:rsid w:val="00450E46"/>
    <w:rsid w:val="00456A83"/>
    <w:rsid w:val="00470929"/>
    <w:rsid w:val="00470976"/>
    <w:rsid w:val="00472CE2"/>
    <w:rsid w:val="00472D74"/>
    <w:rsid w:val="00481774"/>
    <w:rsid w:val="00481BEB"/>
    <w:rsid w:val="0048397A"/>
    <w:rsid w:val="0048438D"/>
    <w:rsid w:val="004847EE"/>
    <w:rsid w:val="00487805"/>
    <w:rsid w:val="00490C61"/>
    <w:rsid w:val="004A53E3"/>
    <w:rsid w:val="004C1138"/>
    <w:rsid w:val="004D2BCA"/>
    <w:rsid w:val="004D3EFF"/>
    <w:rsid w:val="004D44F5"/>
    <w:rsid w:val="004D5129"/>
    <w:rsid w:val="004E2692"/>
    <w:rsid w:val="004F6F0E"/>
    <w:rsid w:val="004F7A1A"/>
    <w:rsid w:val="005019B3"/>
    <w:rsid w:val="0050271E"/>
    <w:rsid w:val="00503826"/>
    <w:rsid w:val="00507181"/>
    <w:rsid w:val="005119B9"/>
    <w:rsid w:val="005121D4"/>
    <w:rsid w:val="005135C8"/>
    <w:rsid w:val="00514A7A"/>
    <w:rsid w:val="005161BA"/>
    <w:rsid w:val="00517FD5"/>
    <w:rsid w:val="00521272"/>
    <w:rsid w:val="00540312"/>
    <w:rsid w:val="00542543"/>
    <w:rsid w:val="00542B9B"/>
    <w:rsid w:val="00551980"/>
    <w:rsid w:val="00571092"/>
    <w:rsid w:val="00575C80"/>
    <w:rsid w:val="00580A34"/>
    <w:rsid w:val="00582206"/>
    <w:rsid w:val="00583848"/>
    <w:rsid w:val="0058393D"/>
    <w:rsid w:val="00585A16"/>
    <w:rsid w:val="0058688A"/>
    <w:rsid w:val="005966E4"/>
    <w:rsid w:val="005A0689"/>
    <w:rsid w:val="005A54F9"/>
    <w:rsid w:val="005A7D24"/>
    <w:rsid w:val="005B2911"/>
    <w:rsid w:val="005B4268"/>
    <w:rsid w:val="005C22BD"/>
    <w:rsid w:val="005C2489"/>
    <w:rsid w:val="005C26FB"/>
    <w:rsid w:val="005C36AE"/>
    <w:rsid w:val="005C3ECF"/>
    <w:rsid w:val="005C61E4"/>
    <w:rsid w:val="005C6CC6"/>
    <w:rsid w:val="005D0A8B"/>
    <w:rsid w:val="005D6C28"/>
    <w:rsid w:val="005E010B"/>
    <w:rsid w:val="005E10AF"/>
    <w:rsid w:val="005E15D6"/>
    <w:rsid w:val="005E4935"/>
    <w:rsid w:val="005E49D9"/>
    <w:rsid w:val="005F390A"/>
    <w:rsid w:val="005F5B18"/>
    <w:rsid w:val="005F65AA"/>
    <w:rsid w:val="005F65C4"/>
    <w:rsid w:val="006038D6"/>
    <w:rsid w:val="006047E3"/>
    <w:rsid w:val="00605310"/>
    <w:rsid w:val="00610764"/>
    <w:rsid w:val="00617B8D"/>
    <w:rsid w:val="00617DCF"/>
    <w:rsid w:val="00620183"/>
    <w:rsid w:val="0062042E"/>
    <w:rsid w:val="00621BFE"/>
    <w:rsid w:val="006234BF"/>
    <w:rsid w:val="00631A27"/>
    <w:rsid w:val="00637EF5"/>
    <w:rsid w:val="006541A5"/>
    <w:rsid w:val="00655569"/>
    <w:rsid w:val="006562D9"/>
    <w:rsid w:val="00663375"/>
    <w:rsid w:val="00665126"/>
    <w:rsid w:val="0067104F"/>
    <w:rsid w:val="00682CC7"/>
    <w:rsid w:val="00685ECC"/>
    <w:rsid w:val="00687F2F"/>
    <w:rsid w:val="00692D8D"/>
    <w:rsid w:val="006951D8"/>
    <w:rsid w:val="006955D3"/>
    <w:rsid w:val="00695929"/>
    <w:rsid w:val="006A0454"/>
    <w:rsid w:val="006A0DAE"/>
    <w:rsid w:val="006A1E29"/>
    <w:rsid w:val="006A52BC"/>
    <w:rsid w:val="006B03E9"/>
    <w:rsid w:val="006B7306"/>
    <w:rsid w:val="006D5C3B"/>
    <w:rsid w:val="006D618D"/>
    <w:rsid w:val="006D7AC4"/>
    <w:rsid w:val="006E06D6"/>
    <w:rsid w:val="006E1EDD"/>
    <w:rsid w:val="006E4274"/>
    <w:rsid w:val="006F0630"/>
    <w:rsid w:val="006F0D96"/>
    <w:rsid w:val="006F1A45"/>
    <w:rsid w:val="0070204D"/>
    <w:rsid w:val="0070348F"/>
    <w:rsid w:val="007061D2"/>
    <w:rsid w:val="00713C7B"/>
    <w:rsid w:val="007206C1"/>
    <w:rsid w:val="00721080"/>
    <w:rsid w:val="00722093"/>
    <w:rsid w:val="00722441"/>
    <w:rsid w:val="007226C0"/>
    <w:rsid w:val="00725C96"/>
    <w:rsid w:val="00726FBC"/>
    <w:rsid w:val="007362D3"/>
    <w:rsid w:val="00736F04"/>
    <w:rsid w:val="0074539F"/>
    <w:rsid w:val="00746A9D"/>
    <w:rsid w:val="00747F35"/>
    <w:rsid w:val="00750F43"/>
    <w:rsid w:val="007518A8"/>
    <w:rsid w:val="00752183"/>
    <w:rsid w:val="0076108F"/>
    <w:rsid w:val="00762B21"/>
    <w:rsid w:val="00765BFB"/>
    <w:rsid w:val="0077033C"/>
    <w:rsid w:val="00770B9B"/>
    <w:rsid w:val="00771E52"/>
    <w:rsid w:val="007732C0"/>
    <w:rsid w:val="007926B7"/>
    <w:rsid w:val="0079744C"/>
    <w:rsid w:val="007A2076"/>
    <w:rsid w:val="007A3D8B"/>
    <w:rsid w:val="007B6ABA"/>
    <w:rsid w:val="007C06F1"/>
    <w:rsid w:val="007C14E6"/>
    <w:rsid w:val="007D05D5"/>
    <w:rsid w:val="007D5494"/>
    <w:rsid w:val="007D6512"/>
    <w:rsid w:val="007E27EA"/>
    <w:rsid w:val="007E52A3"/>
    <w:rsid w:val="007E64CE"/>
    <w:rsid w:val="007F06B0"/>
    <w:rsid w:val="007F0762"/>
    <w:rsid w:val="007F0928"/>
    <w:rsid w:val="007F3EAA"/>
    <w:rsid w:val="007F6BDA"/>
    <w:rsid w:val="00800F16"/>
    <w:rsid w:val="0080296A"/>
    <w:rsid w:val="00803044"/>
    <w:rsid w:val="008030AC"/>
    <w:rsid w:val="00803AAD"/>
    <w:rsid w:val="008103A3"/>
    <w:rsid w:val="008103C3"/>
    <w:rsid w:val="00811696"/>
    <w:rsid w:val="008216EF"/>
    <w:rsid w:val="008218DC"/>
    <w:rsid w:val="0082389C"/>
    <w:rsid w:val="00831505"/>
    <w:rsid w:val="00831B6A"/>
    <w:rsid w:val="0083759B"/>
    <w:rsid w:val="008414B1"/>
    <w:rsid w:val="00842F0C"/>
    <w:rsid w:val="00847C55"/>
    <w:rsid w:val="00852A21"/>
    <w:rsid w:val="00854C1C"/>
    <w:rsid w:val="00855F54"/>
    <w:rsid w:val="0085709E"/>
    <w:rsid w:val="00857BEC"/>
    <w:rsid w:val="008619D7"/>
    <w:rsid w:val="008661E2"/>
    <w:rsid w:val="00866388"/>
    <w:rsid w:val="0086661C"/>
    <w:rsid w:val="00867904"/>
    <w:rsid w:val="00870807"/>
    <w:rsid w:val="00876485"/>
    <w:rsid w:val="0088325F"/>
    <w:rsid w:val="008852CB"/>
    <w:rsid w:val="00891BDA"/>
    <w:rsid w:val="00891EFF"/>
    <w:rsid w:val="00894AD9"/>
    <w:rsid w:val="0089739B"/>
    <w:rsid w:val="008A270C"/>
    <w:rsid w:val="008A752C"/>
    <w:rsid w:val="008B1A29"/>
    <w:rsid w:val="008B5A03"/>
    <w:rsid w:val="008C2D7A"/>
    <w:rsid w:val="008C702A"/>
    <w:rsid w:val="008D031B"/>
    <w:rsid w:val="008D453A"/>
    <w:rsid w:val="008D4587"/>
    <w:rsid w:val="008D5B9A"/>
    <w:rsid w:val="008D6664"/>
    <w:rsid w:val="008E3C8D"/>
    <w:rsid w:val="008E72FA"/>
    <w:rsid w:val="008F0F7F"/>
    <w:rsid w:val="008F3659"/>
    <w:rsid w:val="008F4870"/>
    <w:rsid w:val="008F50C8"/>
    <w:rsid w:val="00905A3F"/>
    <w:rsid w:val="009241FC"/>
    <w:rsid w:val="0092556B"/>
    <w:rsid w:val="009419DA"/>
    <w:rsid w:val="00947F09"/>
    <w:rsid w:val="00950ED5"/>
    <w:rsid w:val="00951403"/>
    <w:rsid w:val="00957A92"/>
    <w:rsid w:val="009644B1"/>
    <w:rsid w:val="0096611D"/>
    <w:rsid w:val="009732AB"/>
    <w:rsid w:val="00977D90"/>
    <w:rsid w:val="009804E1"/>
    <w:rsid w:val="0098343A"/>
    <w:rsid w:val="00984390"/>
    <w:rsid w:val="00987BAC"/>
    <w:rsid w:val="0099120F"/>
    <w:rsid w:val="009A1CF8"/>
    <w:rsid w:val="009A3DBF"/>
    <w:rsid w:val="009A64D6"/>
    <w:rsid w:val="009B416A"/>
    <w:rsid w:val="009B5462"/>
    <w:rsid w:val="009C27E2"/>
    <w:rsid w:val="009C4415"/>
    <w:rsid w:val="009C4B18"/>
    <w:rsid w:val="009D052D"/>
    <w:rsid w:val="009D6635"/>
    <w:rsid w:val="009E18F6"/>
    <w:rsid w:val="009E2BD1"/>
    <w:rsid w:val="009E4289"/>
    <w:rsid w:val="009E4C1D"/>
    <w:rsid w:val="009E7D32"/>
    <w:rsid w:val="009F41DA"/>
    <w:rsid w:val="00A034B3"/>
    <w:rsid w:val="00A064A6"/>
    <w:rsid w:val="00A114A9"/>
    <w:rsid w:val="00A17DCD"/>
    <w:rsid w:val="00A247DD"/>
    <w:rsid w:val="00A254FD"/>
    <w:rsid w:val="00A321F3"/>
    <w:rsid w:val="00A335EC"/>
    <w:rsid w:val="00A3368D"/>
    <w:rsid w:val="00A338F9"/>
    <w:rsid w:val="00A40209"/>
    <w:rsid w:val="00A4352B"/>
    <w:rsid w:val="00A56F31"/>
    <w:rsid w:val="00A570F7"/>
    <w:rsid w:val="00A57CA4"/>
    <w:rsid w:val="00A63AFE"/>
    <w:rsid w:val="00A64BA0"/>
    <w:rsid w:val="00A70B00"/>
    <w:rsid w:val="00A71C21"/>
    <w:rsid w:val="00A7244B"/>
    <w:rsid w:val="00A75E5C"/>
    <w:rsid w:val="00A86C29"/>
    <w:rsid w:val="00A90C8B"/>
    <w:rsid w:val="00A94CFC"/>
    <w:rsid w:val="00AA12BE"/>
    <w:rsid w:val="00AA2B82"/>
    <w:rsid w:val="00AA373B"/>
    <w:rsid w:val="00AA39DE"/>
    <w:rsid w:val="00AB504E"/>
    <w:rsid w:val="00AC160A"/>
    <w:rsid w:val="00AC3005"/>
    <w:rsid w:val="00AC5E09"/>
    <w:rsid w:val="00AC7158"/>
    <w:rsid w:val="00AD160E"/>
    <w:rsid w:val="00AD178C"/>
    <w:rsid w:val="00AD1FF1"/>
    <w:rsid w:val="00AD275C"/>
    <w:rsid w:val="00AD3AE8"/>
    <w:rsid w:val="00AE252E"/>
    <w:rsid w:val="00AE338D"/>
    <w:rsid w:val="00AE4A64"/>
    <w:rsid w:val="00AF27BE"/>
    <w:rsid w:val="00AF3FB3"/>
    <w:rsid w:val="00AF76EB"/>
    <w:rsid w:val="00B00884"/>
    <w:rsid w:val="00B00FDE"/>
    <w:rsid w:val="00B0493A"/>
    <w:rsid w:val="00B04991"/>
    <w:rsid w:val="00B07624"/>
    <w:rsid w:val="00B07C37"/>
    <w:rsid w:val="00B11ABB"/>
    <w:rsid w:val="00B143AD"/>
    <w:rsid w:val="00B16B94"/>
    <w:rsid w:val="00B17C31"/>
    <w:rsid w:val="00B218CF"/>
    <w:rsid w:val="00B2533F"/>
    <w:rsid w:val="00B26F2D"/>
    <w:rsid w:val="00B3466B"/>
    <w:rsid w:val="00B37CC4"/>
    <w:rsid w:val="00B425F9"/>
    <w:rsid w:val="00B43C09"/>
    <w:rsid w:val="00B46BB0"/>
    <w:rsid w:val="00B529FC"/>
    <w:rsid w:val="00B5335C"/>
    <w:rsid w:val="00B634A7"/>
    <w:rsid w:val="00B64944"/>
    <w:rsid w:val="00B755BA"/>
    <w:rsid w:val="00B855E6"/>
    <w:rsid w:val="00B8750E"/>
    <w:rsid w:val="00B879F4"/>
    <w:rsid w:val="00B91EE7"/>
    <w:rsid w:val="00B966B2"/>
    <w:rsid w:val="00BA0CBD"/>
    <w:rsid w:val="00BA3A79"/>
    <w:rsid w:val="00BA5FB0"/>
    <w:rsid w:val="00BB335D"/>
    <w:rsid w:val="00BB51D4"/>
    <w:rsid w:val="00BB6553"/>
    <w:rsid w:val="00BC402C"/>
    <w:rsid w:val="00BC57B7"/>
    <w:rsid w:val="00BC7102"/>
    <w:rsid w:val="00BC7455"/>
    <w:rsid w:val="00BD2513"/>
    <w:rsid w:val="00BD3A13"/>
    <w:rsid w:val="00BD68EF"/>
    <w:rsid w:val="00BD6C4E"/>
    <w:rsid w:val="00BE14FD"/>
    <w:rsid w:val="00BE231B"/>
    <w:rsid w:val="00BE2EA4"/>
    <w:rsid w:val="00BE3918"/>
    <w:rsid w:val="00BE4561"/>
    <w:rsid w:val="00BF09EE"/>
    <w:rsid w:val="00BF0E7A"/>
    <w:rsid w:val="00BF1B14"/>
    <w:rsid w:val="00BF297F"/>
    <w:rsid w:val="00BF7EFE"/>
    <w:rsid w:val="00C035E7"/>
    <w:rsid w:val="00C05C48"/>
    <w:rsid w:val="00C060D5"/>
    <w:rsid w:val="00C12474"/>
    <w:rsid w:val="00C1623E"/>
    <w:rsid w:val="00C16C70"/>
    <w:rsid w:val="00C177C6"/>
    <w:rsid w:val="00C23702"/>
    <w:rsid w:val="00C240F3"/>
    <w:rsid w:val="00C30029"/>
    <w:rsid w:val="00C34003"/>
    <w:rsid w:val="00C365BD"/>
    <w:rsid w:val="00C36824"/>
    <w:rsid w:val="00C4192B"/>
    <w:rsid w:val="00C42137"/>
    <w:rsid w:val="00C51139"/>
    <w:rsid w:val="00C608DE"/>
    <w:rsid w:val="00C661D0"/>
    <w:rsid w:val="00C70A42"/>
    <w:rsid w:val="00C74E2D"/>
    <w:rsid w:val="00C76236"/>
    <w:rsid w:val="00C81D7C"/>
    <w:rsid w:val="00C870F5"/>
    <w:rsid w:val="00C87E47"/>
    <w:rsid w:val="00C90826"/>
    <w:rsid w:val="00C91531"/>
    <w:rsid w:val="00CA29D0"/>
    <w:rsid w:val="00CA3F52"/>
    <w:rsid w:val="00CA57F8"/>
    <w:rsid w:val="00CA60E9"/>
    <w:rsid w:val="00CB7574"/>
    <w:rsid w:val="00CC49B1"/>
    <w:rsid w:val="00CD333A"/>
    <w:rsid w:val="00CD4265"/>
    <w:rsid w:val="00CE3C29"/>
    <w:rsid w:val="00CE4BBD"/>
    <w:rsid w:val="00CE7069"/>
    <w:rsid w:val="00CF5CE4"/>
    <w:rsid w:val="00CF5ED1"/>
    <w:rsid w:val="00CF7279"/>
    <w:rsid w:val="00D04FDD"/>
    <w:rsid w:val="00D06472"/>
    <w:rsid w:val="00D216FB"/>
    <w:rsid w:val="00D22246"/>
    <w:rsid w:val="00D23C5A"/>
    <w:rsid w:val="00D24A95"/>
    <w:rsid w:val="00D25FC1"/>
    <w:rsid w:val="00D31F21"/>
    <w:rsid w:val="00D35D66"/>
    <w:rsid w:val="00D43B24"/>
    <w:rsid w:val="00D45A9A"/>
    <w:rsid w:val="00D51A35"/>
    <w:rsid w:val="00D60DD5"/>
    <w:rsid w:val="00D60E1D"/>
    <w:rsid w:val="00D61B3F"/>
    <w:rsid w:val="00D61BE4"/>
    <w:rsid w:val="00D63594"/>
    <w:rsid w:val="00D64A0A"/>
    <w:rsid w:val="00D67B92"/>
    <w:rsid w:val="00D757F3"/>
    <w:rsid w:val="00D80EDA"/>
    <w:rsid w:val="00D81C55"/>
    <w:rsid w:val="00D82230"/>
    <w:rsid w:val="00D863CB"/>
    <w:rsid w:val="00D86410"/>
    <w:rsid w:val="00D8728A"/>
    <w:rsid w:val="00DA0B18"/>
    <w:rsid w:val="00DA196D"/>
    <w:rsid w:val="00DA392E"/>
    <w:rsid w:val="00DB0C17"/>
    <w:rsid w:val="00DB0EE1"/>
    <w:rsid w:val="00DB5E64"/>
    <w:rsid w:val="00DC1103"/>
    <w:rsid w:val="00DC64E3"/>
    <w:rsid w:val="00DC69D3"/>
    <w:rsid w:val="00DD20B0"/>
    <w:rsid w:val="00DD2275"/>
    <w:rsid w:val="00DD64C4"/>
    <w:rsid w:val="00DE2977"/>
    <w:rsid w:val="00DE526E"/>
    <w:rsid w:val="00DF1017"/>
    <w:rsid w:val="00E03ED8"/>
    <w:rsid w:val="00E101FC"/>
    <w:rsid w:val="00E10F09"/>
    <w:rsid w:val="00E12BFB"/>
    <w:rsid w:val="00E15645"/>
    <w:rsid w:val="00E16FBF"/>
    <w:rsid w:val="00E21B0F"/>
    <w:rsid w:val="00E21C12"/>
    <w:rsid w:val="00E27169"/>
    <w:rsid w:val="00E30B99"/>
    <w:rsid w:val="00E367AC"/>
    <w:rsid w:val="00E37A02"/>
    <w:rsid w:val="00E40F66"/>
    <w:rsid w:val="00E46943"/>
    <w:rsid w:val="00E501B6"/>
    <w:rsid w:val="00E509C6"/>
    <w:rsid w:val="00E53EC8"/>
    <w:rsid w:val="00E5417B"/>
    <w:rsid w:val="00E60386"/>
    <w:rsid w:val="00E61220"/>
    <w:rsid w:val="00E61DF9"/>
    <w:rsid w:val="00E63DE3"/>
    <w:rsid w:val="00E6604E"/>
    <w:rsid w:val="00E67951"/>
    <w:rsid w:val="00E67981"/>
    <w:rsid w:val="00E67BE1"/>
    <w:rsid w:val="00E71573"/>
    <w:rsid w:val="00E72A69"/>
    <w:rsid w:val="00E84FA8"/>
    <w:rsid w:val="00E86982"/>
    <w:rsid w:val="00E96BE5"/>
    <w:rsid w:val="00EA0611"/>
    <w:rsid w:val="00EA5482"/>
    <w:rsid w:val="00EB66B7"/>
    <w:rsid w:val="00EB6FB8"/>
    <w:rsid w:val="00EC1ACF"/>
    <w:rsid w:val="00EC2231"/>
    <w:rsid w:val="00EC3C14"/>
    <w:rsid w:val="00EC49CD"/>
    <w:rsid w:val="00EC5300"/>
    <w:rsid w:val="00ED25E7"/>
    <w:rsid w:val="00ED5BA5"/>
    <w:rsid w:val="00ED689B"/>
    <w:rsid w:val="00EE5364"/>
    <w:rsid w:val="00EE6598"/>
    <w:rsid w:val="00EE789B"/>
    <w:rsid w:val="00EF2086"/>
    <w:rsid w:val="00EF54B1"/>
    <w:rsid w:val="00EF6D40"/>
    <w:rsid w:val="00F02096"/>
    <w:rsid w:val="00F0461A"/>
    <w:rsid w:val="00F04D04"/>
    <w:rsid w:val="00F12AFF"/>
    <w:rsid w:val="00F166E5"/>
    <w:rsid w:val="00F21052"/>
    <w:rsid w:val="00F217D1"/>
    <w:rsid w:val="00F21B49"/>
    <w:rsid w:val="00F26A72"/>
    <w:rsid w:val="00F33B13"/>
    <w:rsid w:val="00F36611"/>
    <w:rsid w:val="00F41F98"/>
    <w:rsid w:val="00F43225"/>
    <w:rsid w:val="00F433F5"/>
    <w:rsid w:val="00F43731"/>
    <w:rsid w:val="00F43B31"/>
    <w:rsid w:val="00F44697"/>
    <w:rsid w:val="00F45179"/>
    <w:rsid w:val="00F45C02"/>
    <w:rsid w:val="00F46642"/>
    <w:rsid w:val="00F515CA"/>
    <w:rsid w:val="00F5512E"/>
    <w:rsid w:val="00F55D31"/>
    <w:rsid w:val="00F64F67"/>
    <w:rsid w:val="00F75A6E"/>
    <w:rsid w:val="00F75F77"/>
    <w:rsid w:val="00F774BC"/>
    <w:rsid w:val="00F84F1A"/>
    <w:rsid w:val="00F87975"/>
    <w:rsid w:val="00F90FD2"/>
    <w:rsid w:val="00F920ED"/>
    <w:rsid w:val="00F9485B"/>
    <w:rsid w:val="00F94D91"/>
    <w:rsid w:val="00F95E56"/>
    <w:rsid w:val="00F9680C"/>
    <w:rsid w:val="00F96C94"/>
    <w:rsid w:val="00FB3118"/>
    <w:rsid w:val="00FB42B1"/>
    <w:rsid w:val="00FB5913"/>
    <w:rsid w:val="00FB5E32"/>
    <w:rsid w:val="00FB6B2E"/>
    <w:rsid w:val="00FC1958"/>
    <w:rsid w:val="00FC231C"/>
    <w:rsid w:val="00FC268E"/>
    <w:rsid w:val="00FC2DA5"/>
    <w:rsid w:val="00FC3B62"/>
    <w:rsid w:val="00FC432B"/>
    <w:rsid w:val="00FC468B"/>
    <w:rsid w:val="00FD13C1"/>
    <w:rsid w:val="00FD5FE6"/>
    <w:rsid w:val="00FE3DE7"/>
    <w:rsid w:val="00FF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979F78"/>
  <w15:docId w15:val="{DA9DE431-9456-4152-BC00-F33FF4E8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uiPriority w:val="1"/>
    <w:qFormat/>
    <w:rsid w:val="008D5B9A"/>
    <w:pPr>
      <w:spacing w:after="0" w:line="240" w:lineRule="auto"/>
    </w:pPr>
  </w:style>
  <w:style w:type="character" w:styleId="Hyperlink">
    <w:name w:val="Hyperlink"/>
    <w:basedOn w:val="DefaultParagraphFont"/>
    <w:uiPriority w:val="99"/>
    <w:unhideWhenUsed/>
    <w:rsid w:val="008D5B9A"/>
    <w:rPr>
      <w:color w:val="0000FF" w:themeColor="hyperlink"/>
      <w:u w:val="single"/>
    </w:rPr>
  </w:style>
  <w:style w:type="paragraph" w:styleId="ListParagraph">
    <w:name w:val="List Paragraph"/>
    <w:basedOn w:val="Normal"/>
    <w:uiPriority w:val="34"/>
    <w:qFormat/>
    <w:rsid w:val="008D5B9A"/>
    <w:pPr>
      <w:ind w:left="720"/>
      <w:contextualSpacing/>
    </w:pPr>
  </w:style>
  <w:style w:type="character" w:styleId="FollowedHyperlink">
    <w:name w:val="FollowedHyperlink"/>
    <w:basedOn w:val="DefaultParagraphFont"/>
    <w:uiPriority w:val="99"/>
    <w:semiHidden/>
    <w:unhideWhenUsed/>
    <w:rsid w:val="008D5B9A"/>
    <w:rPr>
      <w:color w:val="800080" w:themeColor="followedHyperlink"/>
      <w:u w:val="single"/>
    </w:rPr>
  </w:style>
  <w:style w:type="paragraph" w:styleId="FootnoteText">
    <w:name w:val="footnote text"/>
    <w:basedOn w:val="Normal"/>
    <w:link w:val="FootnoteTextChar"/>
    <w:uiPriority w:val="99"/>
    <w:unhideWhenUsed/>
    <w:rsid w:val="008852CB"/>
    <w:pPr>
      <w:spacing w:after="0" w:line="240" w:lineRule="auto"/>
    </w:pPr>
    <w:rPr>
      <w:sz w:val="20"/>
      <w:szCs w:val="20"/>
    </w:rPr>
  </w:style>
  <w:style w:type="character" w:customStyle="1" w:styleId="FootnoteTextChar">
    <w:name w:val="Footnote Text Char"/>
    <w:basedOn w:val="DefaultParagraphFont"/>
    <w:link w:val="FootnoteText"/>
    <w:uiPriority w:val="99"/>
    <w:rsid w:val="008852CB"/>
    <w:rPr>
      <w:sz w:val="20"/>
      <w:szCs w:val="20"/>
    </w:rPr>
  </w:style>
  <w:style w:type="character" w:styleId="FootnoteReference">
    <w:name w:val="footnote reference"/>
    <w:basedOn w:val="DefaultParagraphFont"/>
    <w:uiPriority w:val="99"/>
    <w:semiHidden/>
    <w:unhideWhenUsed/>
    <w:rsid w:val="008852CB"/>
    <w:rPr>
      <w:vertAlign w:val="superscript"/>
    </w:rPr>
  </w:style>
  <w:style w:type="paragraph" w:styleId="NormalWeb">
    <w:name w:val="Normal (Web)"/>
    <w:basedOn w:val="Normal"/>
    <w:uiPriority w:val="99"/>
    <w:semiHidden/>
    <w:unhideWhenUsed/>
    <w:rsid w:val="00F02096"/>
    <w:pPr>
      <w:spacing w:before="240" w:after="240"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487805"/>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487805"/>
    <w:rPr>
      <w:rFonts w:ascii="Times New Roman" w:eastAsia="Times New Roman" w:hAnsi="Times New Roman" w:cs="Times New Roman"/>
      <w:sz w:val="24"/>
      <w:szCs w:val="24"/>
    </w:rPr>
  </w:style>
  <w:style w:type="paragraph" w:customStyle="1" w:styleId="insideaddress">
    <w:name w:val="insideaddress"/>
    <w:basedOn w:val="Normal"/>
    <w:rsid w:val="00487805"/>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87805"/>
    <w:rPr>
      <w:color w:val="808080"/>
      <w:shd w:val="clear" w:color="auto" w:fill="E6E6E6"/>
    </w:rPr>
  </w:style>
  <w:style w:type="character" w:styleId="CommentReference">
    <w:name w:val="annotation reference"/>
    <w:basedOn w:val="DefaultParagraphFont"/>
    <w:uiPriority w:val="99"/>
    <w:semiHidden/>
    <w:unhideWhenUsed/>
    <w:rsid w:val="006541A5"/>
    <w:rPr>
      <w:sz w:val="16"/>
      <w:szCs w:val="16"/>
    </w:rPr>
  </w:style>
  <w:style w:type="paragraph" w:styleId="CommentText">
    <w:name w:val="annotation text"/>
    <w:basedOn w:val="Normal"/>
    <w:link w:val="CommentTextChar"/>
    <w:uiPriority w:val="99"/>
    <w:semiHidden/>
    <w:unhideWhenUsed/>
    <w:rsid w:val="006541A5"/>
    <w:pPr>
      <w:spacing w:line="240" w:lineRule="auto"/>
    </w:pPr>
    <w:rPr>
      <w:sz w:val="20"/>
      <w:szCs w:val="20"/>
    </w:rPr>
  </w:style>
  <w:style w:type="character" w:customStyle="1" w:styleId="CommentTextChar">
    <w:name w:val="Comment Text Char"/>
    <w:basedOn w:val="DefaultParagraphFont"/>
    <w:link w:val="CommentText"/>
    <w:uiPriority w:val="99"/>
    <w:semiHidden/>
    <w:rsid w:val="006541A5"/>
    <w:rPr>
      <w:sz w:val="20"/>
      <w:szCs w:val="20"/>
    </w:rPr>
  </w:style>
  <w:style w:type="paragraph" w:styleId="CommentSubject">
    <w:name w:val="annotation subject"/>
    <w:basedOn w:val="CommentText"/>
    <w:next w:val="CommentText"/>
    <w:link w:val="CommentSubjectChar"/>
    <w:uiPriority w:val="99"/>
    <w:semiHidden/>
    <w:unhideWhenUsed/>
    <w:rsid w:val="006541A5"/>
    <w:rPr>
      <w:b/>
      <w:bCs/>
    </w:rPr>
  </w:style>
  <w:style w:type="character" w:customStyle="1" w:styleId="CommentSubjectChar">
    <w:name w:val="Comment Subject Char"/>
    <w:basedOn w:val="CommentTextChar"/>
    <w:link w:val="CommentSubject"/>
    <w:uiPriority w:val="99"/>
    <w:semiHidden/>
    <w:rsid w:val="006541A5"/>
    <w:rPr>
      <w:b/>
      <w:bCs/>
      <w:sz w:val="20"/>
      <w:szCs w:val="20"/>
    </w:rPr>
  </w:style>
  <w:style w:type="table" w:customStyle="1" w:styleId="TableGrid1">
    <w:name w:val="Table Grid1"/>
    <w:basedOn w:val="TableNormal"/>
    <w:next w:val="TableGrid"/>
    <w:uiPriority w:val="59"/>
    <w:rsid w:val="0086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3AAD"/>
    <w:pPr>
      <w:spacing w:after="0" w:line="240" w:lineRule="auto"/>
    </w:pPr>
  </w:style>
  <w:style w:type="paragraph" w:customStyle="1" w:styleId="Default">
    <w:name w:val="Default"/>
    <w:rsid w:val="00E96BE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84289">
      <w:bodyDiv w:val="1"/>
      <w:marLeft w:val="0"/>
      <w:marRight w:val="0"/>
      <w:marTop w:val="0"/>
      <w:marBottom w:val="0"/>
      <w:divBdr>
        <w:top w:val="none" w:sz="0" w:space="0" w:color="auto"/>
        <w:left w:val="none" w:sz="0" w:space="0" w:color="auto"/>
        <w:bottom w:val="none" w:sz="0" w:space="0" w:color="auto"/>
        <w:right w:val="none" w:sz="0" w:space="0" w:color="auto"/>
      </w:divBdr>
    </w:div>
    <w:div w:id="724765098">
      <w:bodyDiv w:val="1"/>
      <w:marLeft w:val="0"/>
      <w:marRight w:val="0"/>
      <w:marTop w:val="0"/>
      <w:marBottom w:val="0"/>
      <w:divBdr>
        <w:top w:val="none" w:sz="0" w:space="0" w:color="auto"/>
        <w:left w:val="none" w:sz="0" w:space="0" w:color="auto"/>
        <w:bottom w:val="none" w:sz="0" w:space="0" w:color="auto"/>
        <w:right w:val="none" w:sz="0" w:space="0" w:color="auto"/>
      </w:divBdr>
      <w:divsChild>
        <w:div w:id="592973002">
          <w:marLeft w:val="0"/>
          <w:marRight w:val="0"/>
          <w:marTop w:val="0"/>
          <w:marBottom w:val="0"/>
          <w:divBdr>
            <w:top w:val="none" w:sz="0" w:space="0" w:color="auto"/>
            <w:left w:val="none" w:sz="0" w:space="0" w:color="auto"/>
            <w:bottom w:val="none" w:sz="0" w:space="0" w:color="auto"/>
            <w:right w:val="none" w:sz="0" w:space="0" w:color="auto"/>
          </w:divBdr>
          <w:divsChild>
            <w:div w:id="936837124">
              <w:marLeft w:val="0"/>
              <w:marRight w:val="0"/>
              <w:marTop w:val="0"/>
              <w:marBottom w:val="0"/>
              <w:divBdr>
                <w:top w:val="none" w:sz="0" w:space="0" w:color="auto"/>
                <w:left w:val="none" w:sz="0" w:space="0" w:color="auto"/>
                <w:bottom w:val="none" w:sz="0" w:space="0" w:color="auto"/>
                <w:right w:val="none" w:sz="0" w:space="0" w:color="auto"/>
              </w:divBdr>
              <w:divsChild>
                <w:div w:id="1367753510">
                  <w:marLeft w:val="0"/>
                  <w:marRight w:val="0"/>
                  <w:marTop w:val="0"/>
                  <w:marBottom w:val="0"/>
                  <w:divBdr>
                    <w:top w:val="none" w:sz="0" w:space="0" w:color="auto"/>
                    <w:left w:val="none" w:sz="0" w:space="0" w:color="auto"/>
                    <w:bottom w:val="none" w:sz="0" w:space="0" w:color="auto"/>
                    <w:right w:val="none" w:sz="0" w:space="0" w:color="auto"/>
                  </w:divBdr>
                  <w:divsChild>
                    <w:div w:id="1649284443">
                      <w:marLeft w:val="0"/>
                      <w:marRight w:val="0"/>
                      <w:marTop w:val="0"/>
                      <w:marBottom w:val="0"/>
                      <w:divBdr>
                        <w:top w:val="none" w:sz="0" w:space="0" w:color="auto"/>
                        <w:left w:val="none" w:sz="0" w:space="0" w:color="auto"/>
                        <w:bottom w:val="none" w:sz="0" w:space="0" w:color="auto"/>
                        <w:right w:val="none" w:sz="0" w:space="0" w:color="auto"/>
                      </w:divBdr>
                      <w:divsChild>
                        <w:div w:id="234126501">
                          <w:marLeft w:val="0"/>
                          <w:marRight w:val="0"/>
                          <w:marTop w:val="0"/>
                          <w:marBottom w:val="0"/>
                          <w:divBdr>
                            <w:top w:val="none" w:sz="0" w:space="0" w:color="auto"/>
                            <w:left w:val="none" w:sz="0" w:space="0" w:color="auto"/>
                            <w:bottom w:val="none" w:sz="0" w:space="0" w:color="auto"/>
                            <w:right w:val="none" w:sz="0" w:space="0" w:color="auto"/>
                          </w:divBdr>
                          <w:divsChild>
                            <w:div w:id="941300218">
                              <w:marLeft w:val="0"/>
                              <w:marRight w:val="0"/>
                              <w:marTop w:val="0"/>
                              <w:marBottom w:val="0"/>
                              <w:divBdr>
                                <w:top w:val="none" w:sz="0" w:space="0" w:color="auto"/>
                                <w:left w:val="none" w:sz="0" w:space="0" w:color="auto"/>
                                <w:bottom w:val="none" w:sz="0" w:space="0" w:color="auto"/>
                                <w:right w:val="none" w:sz="0" w:space="0" w:color="auto"/>
                              </w:divBdr>
                              <w:divsChild>
                                <w:div w:id="1755279950">
                                  <w:marLeft w:val="0"/>
                                  <w:marRight w:val="0"/>
                                  <w:marTop w:val="0"/>
                                  <w:marBottom w:val="0"/>
                                  <w:divBdr>
                                    <w:top w:val="none" w:sz="0" w:space="0" w:color="auto"/>
                                    <w:left w:val="none" w:sz="0" w:space="0" w:color="auto"/>
                                    <w:bottom w:val="none" w:sz="0" w:space="0" w:color="auto"/>
                                    <w:right w:val="none" w:sz="0" w:space="0" w:color="auto"/>
                                  </w:divBdr>
                                  <w:divsChild>
                                    <w:div w:id="2017148528">
                                      <w:marLeft w:val="0"/>
                                      <w:marRight w:val="0"/>
                                      <w:marTop w:val="0"/>
                                      <w:marBottom w:val="0"/>
                                      <w:divBdr>
                                        <w:top w:val="none" w:sz="0" w:space="0" w:color="auto"/>
                                        <w:left w:val="none" w:sz="0" w:space="0" w:color="auto"/>
                                        <w:bottom w:val="none" w:sz="0" w:space="0" w:color="auto"/>
                                        <w:right w:val="none" w:sz="0" w:space="0" w:color="auto"/>
                                      </w:divBdr>
                                      <w:divsChild>
                                        <w:div w:id="447823946">
                                          <w:marLeft w:val="0"/>
                                          <w:marRight w:val="0"/>
                                          <w:marTop w:val="0"/>
                                          <w:marBottom w:val="0"/>
                                          <w:divBdr>
                                            <w:top w:val="none" w:sz="0" w:space="0" w:color="auto"/>
                                            <w:left w:val="none" w:sz="0" w:space="0" w:color="auto"/>
                                            <w:bottom w:val="none" w:sz="0" w:space="0" w:color="auto"/>
                                            <w:right w:val="none" w:sz="0" w:space="0" w:color="auto"/>
                                          </w:divBdr>
                                          <w:divsChild>
                                            <w:div w:id="1121992559">
                                              <w:marLeft w:val="0"/>
                                              <w:marRight w:val="0"/>
                                              <w:marTop w:val="0"/>
                                              <w:marBottom w:val="0"/>
                                              <w:divBdr>
                                                <w:top w:val="none" w:sz="0" w:space="0" w:color="auto"/>
                                                <w:left w:val="none" w:sz="0" w:space="0" w:color="auto"/>
                                                <w:bottom w:val="none" w:sz="0" w:space="0" w:color="auto"/>
                                                <w:right w:val="none" w:sz="0" w:space="0" w:color="auto"/>
                                              </w:divBdr>
                                              <w:divsChild>
                                                <w:div w:id="1840077669">
                                                  <w:marLeft w:val="0"/>
                                                  <w:marRight w:val="0"/>
                                                  <w:marTop w:val="0"/>
                                                  <w:marBottom w:val="0"/>
                                                  <w:divBdr>
                                                    <w:top w:val="none" w:sz="0" w:space="0" w:color="auto"/>
                                                    <w:left w:val="none" w:sz="0" w:space="0" w:color="auto"/>
                                                    <w:bottom w:val="none" w:sz="0" w:space="0" w:color="auto"/>
                                                    <w:right w:val="none" w:sz="0" w:space="0" w:color="auto"/>
                                                  </w:divBdr>
                                                  <w:divsChild>
                                                    <w:div w:id="8643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753298">
      <w:bodyDiv w:val="1"/>
      <w:marLeft w:val="0"/>
      <w:marRight w:val="0"/>
      <w:marTop w:val="0"/>
      <w:marBottom w:val="0"/>
      <w:divBdr>
        <w:top w:val="none" w:sz="0" w:space="0" w:color="auto"/>
        <w:left w:val="none" w:sz="0" w:space="0" w:color="auto"/>
        <w:bottom w:val="none" w:sz="0" w:space="0" w:color="auto"/>
        <w:right w:val="none" w:sz="0" w:space="0" w:color="auto"/>
      </w:divBdr>
    </w:div>
    <w:div w:id="1237669930">
      <w:bodyDiv w:val="1"/>
      <w:marLeft w:val="0"/>
      <w:marRight w:val="0"/>
      <w:marTop w:val="0"/>
      <w:marBottom w:val="0"/>
      <w:divBdr>
        <w:top w:val="none" w:sz="0" w:space="0" w:color="auto"/>
        <w:left w:val="none" w:sz="0" w:space="0" w:color="auto"/>
        <w:bottom w:val="none" w:sz="0" w:space="0" w:color="auto"/>
        <w:right w:val="none" w:sz="0" w:space="0" w:color="auto"/>
      </w:divBdr>
    </w:div>
    <w:div w:id="1311448947">
      <w:bodyDiv w:val="1"/>
      <w:marLeft w:val="0"/>
      <w:marRight w:val="0"/>
      <w:marTop w:val="0"/>
      <w:marBottom w:val="0"/>
      <w:divBdr>
        <w:top w:val="none" w:sz="0" w:space="0" w:color="auto"/>
        <w:left w:val="none" w:sz="0" w:space="0" w:color="auto"/>
        <w:bottom w:val="none" w:sz="0" w:space="0" w:color="auto"/>
        <w:right w:val="none" w:sz="0" w:space="0" w:color="auto"/>
      </w:divBdr>
    </w:div>
    <w:div w:id="188127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ses.ny.gov/dr-4615-hazard-mitigation-grant-program-fund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ma.gov/sites/default/files/documents/fema_hma-planning-related-activities_factsheet.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tigateny.availabs.org/strateg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zardMitigation@dhses.ny.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ema.gov/grants/guidance-tools/benefit-cost-analysis" TargetMode="External"/><Relationship Id="rId1" Type="http://schemas.openxmlformats.org/officeDocument/2006/relationships/hyperlink" Target="https://www.fema.gov/sites/default/files/2020-08/fema_hma_cost-share-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FCA19F2F92B342A7FB07534DD325A5" ma:contentTypeVersion="9" ma:contentTypeDescription="Create a new document." ma:contentTypeScope="" ma:versionID="515a3224ae525530a8aca8b16094fa42">
  <xsd:schema xmlns:xsd="http://www.w3.org/2001/XMLSchema" xmlns:xs="http://www.w3.org/2001/XMLSchema" xmlns:p="http://schemas.microsoft.com/office/2006/metadata/properties" xmlns:ns3="5c82451e-363f-4639-a005-a53971658ede" xmlns:ns4="9f8e36ce-ae99-4cd6-97bc-e4091c91b4f5" targetNamespace="http://schemas.microsoft.com/office/2006/metadata/properties" ma:root="true" ma:fieldsID="ed3806fab2b8032904d04f96e2461584" ns3:_="" ns4:_="">
    <xsd:import namespace="5c82451e-363f-4639-a005-a53971658ede"/>
    <xsd:import namespace="9f8e36ce-ae99-4cd6-97bc-e4091c91b4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2451e-363f-4639-a005-a53971658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e36ce-ae99-4cd6-97bc-e4091c91b4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A4FE5-0C2F-4123-89A9-8FCE851FFE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ACF2B1-CB61-4D7A-8CA1-451F258A1ED7}">
  <ds:schemaRefs>
    <ds:schemaRef ds:uri="http://schemas.openxmlformats.org/officeDocument/2006/bibliography"/>
  </ds:schemaRefs>
</ds:datastoreItem>
</file>

<file path=customXml/itemProps3.xml><?xml version="1.0" encoding="utf-8"?>
<ds:datastoreItem xmlns:ds="http://schemas.openxmlformats.org/officeDocument/2006/customXml" ds:itemID="{8BDA2BFE-2DDD-43CD-A861-9D7051827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2451e-363f-4639-a005-a53971658ede"/>
    <ds:schemaRef ds:uri="9f8e36ce-ae99-4cd6-97bc-e4091c91b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D64384-B44F-4C92-AB40-4159CF8392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Warner, Jennifer</dc:creator>
  <cp:lastModifiedBy>White, Marlene (DHSES)</cp:lastModifiedBy>
  <cp:revision>12</cp:revision>
  <cp:lastPrinted>2022-01-25T20:26:00Z</cp:lastPrinted>
  <dcterms:created xsi:type="dcterms:W3CDTF">2022-02-08T23:56:00Z</dcterms:created>
  <dcterms:modified xsi:type="dcterms:W3CDTF">2022-04-12T12:02:00Z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0x0101005AFCA19F2F92B342A7FB07534DD325A5</vt:lpwstr>
  </property>
</Properties>
</file>